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94F5" w14:textId="77777777" w:rsidR="002F5AA0" w:rsidRPr="002F5AA0" w:rsidRDefault="002F5AA0" w:rsidP="00393406">
      <w:pPr>
        <w:rPr>
          <w:b/>
          <w:sz w:val="26"/>
          <w:szCs w:val="26"/>
        </w:rPr>
      </w:pPr>
    </w:p>
    <w:p w14:paraId="2A4F6CE6" w14:textId="77777777" w:rsidR="002F5AA0" w:rsidRPr="0034669D" w:rsidRDefault="00864DB9" w:rsidP="002F5AA0">
      <w:pPr>
        <w:jc w:val="center"/>
        <w:rPr>
          <w:rFonts w:asciiTheme="minorHAnsi" w:hAnsiTheme="minorHAnsi"/>
          <w:b/>
          <w:sz w:val="26"/>
          <w:szCs w:val="26"/>
        </w:rPr>
      </w:pPr>
      <w:r w:rsidRPr="0034669D">
        <w:rPr>
          <w:rFonts w:asciiTheme="minorHAnsi" w:hAnsiTheme="minorHAnsi"/>
          <w:b/>
          <w:sz w:val="26"/>
          <w:szCs w:val="26"/>
        </w:rPr>
        <w:t>RELAZIONE DI ACCOMPAGNAMENTO</w:t>
      </w:r>
    </w:p>
    <w:p w14:paraId="44116AA1" w14:textId="77777777" w:rsidR="00B6594A" w:rsidRPr="00DD205A" w:rsidRDefault="00B6594A" w:rsidP="00B6594A">
      <w:pPr>
        <w:jc w:val="center"/>
        <w:rPr>
          <w:rFonts w:asciiTheme="minorHAnsi" w:hAnsiTheme="minorHAnsi"/>
          <w:b/>
          <w:sz w:val="26"/>
          <w:szCs w:val="26"/>
        </w:rPr>
      </w:pPr>
      <w:r w:rsidRPr="00DD205A">
        <w:rPr>
          <w:rFonts w:asciiTheme="minorHAnsi" w:hAnsiTheme="minorHAnsi"/>
          <w:b/>
          <w:sz w:val="26"/>
          <w:szCs w:val="26"/>
        </w:rPr>
        <w:t>Consorzio Ecologico Cuneese - CEC</w:t>
      </w:r>
    </w:p>
    <w:p w14:paraId="6B34695E" w14:textId="77777777" w:rsidR="00D0367A" w:rsidRPr="00DD205A" w:rsidRDefault="00D0367A" w:rsidP="00D0367A">
      <w:pPr>
        <w:jc w:val="center"/>
        <w:rPr>
          <w:rFonts w:asciiTheme="minorHAnsi" w:hAnsiTheme="minorHAnsi"/>
          <w:b/>
          <w:color w:val="0070C0"/>
          <w:sz w:val="26"/>
          <w:szCs w:val="26"/>
        </w:rPr>
      </w:pPr>
    </w:p>
    <w:p w14:paraId="54BB34E8" w14:textId="77777777" w:rsidR="00B6594A" w:rsidRPr="0034669D" w:rsidRDefault="00B6594A" w:rsidP="00B6594A">
      <w:pPr>
        <w:jc w:val="center"/>
        <w:rPr>
          <w:rFonts w:asciiTheme="minorHAnsi" w:hAnsiTheme="minorHAnsi"/>
          <w:b/>
          <w:sz w:val="26"/>
          <w:szCs w:val="26"/>
        </w:rPr>
      </w:pPr>
      <w:r w:rsidRPr="00D042C9">
        <w:rPr>
          <w:rFonts w:asciiTheme="minorHAnsi" w:hAnsiTheme="minorHAnsi"/>
          <w:b/>
          <w:sz w:val="26"/>
          <w:szCs w:val="26"/>
        </w:rPr>
        <w:t>Lotto</w:t>
      </w:r>
      <w:r w:rsidR="00993763" w:rsidRPr="00D042C9">
        <w:rPr>
          <w:rFonts w:asciiTheme="minorHAnsi" w:hAnsiTheme="minorHAnsi"/>
          <w:b/>
          <w:sz w:val="26"/>
          <w:szCs w:val="26"/>
        </w:rPr>
        <w:t xml:space="preserve"> </w:t>
      </w:r>
      <w:r w:rsidR="001246DE" w:rsidRPr="00D042C9">
        <w:rPr>
          <w:rFonts w:asciiTheme="minorHAnsi" w:hAnsiTheme="minorHAnsi"/>
          <w:b/>
          <w:sz w:val="26"/>
          <w:szCs w:val="26"/>
        </w:rPr>
        <w:t xml:space="preserve">Valli Maira e Grana </w:t>
      </w:r>
    </w:p>
    <w:p w14:paraId="2CE98891" w14:textId="77777777" w:rsidR="002F5AA0" w:rsidRPr="0034669D" w:rsidRDefault="002F5AA0" w:rsidP="00393406">
      <w:pPr>
        <w:rPr>
          <w:rFonts w:asciiTheme="minorHAnsi" w:hAnsiTheme="minorHAnsi"/>
        </w:rPr>
      </w:pPr>
    </w:p>
    <w:p w14:paraId="1628E5D0" w14:textId="77777777" w:rsidR="005316ED" w:rsidRPr="0034669D" w:rsidRDefault="005316ED" w:rsidP="00393406">
      <w:pPr>
        <w:rPr>
          <w:rFonts w:asciiTheme="minorHAnsi" w:hAnsiTheme="minorHAnsi"/>
        </w:rPr>
      </w:pPr>
    </w:p>
    <w:p w14:paraId="3A052CD0" w14:textId="77777777" w:rsidR="005316ED" w:rsidRPr="0034669D" w:rsidRDefault="005316ED" w:rsidP="00393406">
      <w:pPr>
        <w:rPr>
          <w:rFonts w:asciiTheme="minorHAnsi" w:hAnsiTheme="minorHAnsi"/>
          <w:u w:val="single"/>
        </w:rPr>
      </w:pPr>
      <w:r w:rsidRPr="0034669D">
        <w:rPr>
          <w:rFonts w:asciiTheme="minorHAnsi" w:hAnsiTheme="minorHAnsi"/>
          <w:u w:val="single"/>
        </w:rPr>
        <w:t>Indice</w:t>
      </w:r>
      <w:r w:rsidR="0004185F" w:rsidRPr="0034669D">
        <w:rPr>
          <w:rFonts w:asciiTheme="minorHAnsi" w:hAnsiTheme="minorHAnsi"/>
          <w:u w:val="single"/>
        </w:rPr>
        <w:t xml:space="preserve"> della relazione</w:t>
      </w:r>
    </w:p>
    <w:p w14:paraId="7394EFA4" w14:textId="77777777" w:rsidR="005316ED" w:rsidRPr="0034669D" w:rsidRDefault="005316ED" w:rsidP="00393406">
      <w:pPr>
        <w:rPr>
          <w:rFonts w:asciiTheme="minorHAnsi" w:hAnsiTheme="minorHAnsi"/>
        </w:rPr>
      </w:pPr>
    </w:p>
    <w:p w14:paraId="33BA5CBE" w14:textId="77777777" w:rsidR="001D7943" w:rsidRDefault="005316ED">
      <w:pPr>
        <w:pStyle w:val="Sommario1"/>
        <w:rPr>
          <w:rFonts w:asciiTheme="minorHAnsi" w:eastAsiaTheme="minorEastAsia" w:hAnsiTheme="minorHAnsi" w:cstheme="minorBidi"/>
          <w:b w:val="0"/>
          <w:sz w:val="22"/>
          <w:szCs w:val="22"/>
        </w:rPr>
      </w:pPr>
      <w:r w:rsidRPr="0034669D">
        <w:rPr>
          <w:rFonts w:asciiTheme="minorHAnsi" w:hAnsiTheme="minorHAnsi"/>
        </w:rPr>
        <w:fldChar w:fldCharType="begin"/>
      </w:r>
      <w:r w:rsidRPr="0034669D">
        <w:rPr>
          <w:rFonts w:asciiTheme="minorHAnsi" w:hAnsiTheme="minorHAnsi"/>
        </w:rPr>
        <w:instrText xml:space="preserve"> TOC \o "1-4" \h \z \u </w:instrText>
      </w:r>
      <w:r w:rsidRPr="0034669D">
        <w:rPr>
          <w:rFonts w:asciiTheme="minorHAnsi" w:hAnsiTheme="minorHAnsi"/>
        </w:rPr>
        <w:fldChar w:fldCharType="separate"/>
      </w:r>
      <w:hyperlink w:anchor="_Toc45528363" w:history="1">
        <w:r w:rsidR="001D7943" w:rsidRPr="00485212">
          <w:rPr>
            <w:rStyle w:val="Collegamentoipertestuale"/>
          </w:rPr>
          <w:t>1</w:t>
        </w:r>
        <w:r w:rsidR="001D7943">
          <w:rPr>
            <w:rFonts w:asciiTheme="minorHAnsi" w:eastAsiaTheme="minorEastAsia" w:hAnsiTheme="minorHAnsi" w:cstheme="minorBidi"/>
            <w:b w:val="0"/>
            <w:sz w:val="22"/>
            <w:szCs w:val="22"/>
          </w:rPr>
          <w:tab/>
        </w:r>
        <w:r w:rsidR="001D7943" w:rsidRPr="00485212">
          <w:rPr>
            <w:rStyle w:val="Collegamentoipertestuale"/>
          </w:rPr>
          <w:t>Premessa</w:t>
        </w:r>
        <w:r w:rsidR="001D7943">
          <w:rPr>
            <w:webHidden/>
          </w:rPr>
          <w:tab/>
        </w:r>
        <w:r w:rsidR="001D7943">
          <w:rPr>
            <w:webHidden/>
          </w:rPr>
          <w:fldChar w:fldCharType="begin"/>
        </w:r>
        <w:r w:rsidR="001D7943">
          <w:rPr>
            <w:webHidden/>
          </w:rPr>
          <w:instrText xml:space="preserve"> PAGEREF _Toc45528363 \h </w:instrText>
        </w:r>
        <w:r w:rsidR="001D7943">
          <w:rPr>
            <w:webHidden/>
          </w:rPr>
        </w:r>
        <w:r w:rsidR="001D7943">
          <w:rPr>
            <w:webHidden/>
          </w:rPr>
          <w:fldChar w:fldCharType="separate"/>
        </w:r>
        <w:r w:rsidR="001D7943">
          <w:rPr>
            <w:webHidden/>
          </w:rPr>
          <w:t>2</w:t>
        </w:r>
        <w:r w:rsidR="001D7943">
          <w:rPr>
            <w:webHidden/>
          </w:rPr>
          <w:fldChar w:fldCharType="end"/>
        </w:r>
      </w:hyperlink>
    </w:p>
    <w:p w14:paraId="0F84A9BC" w14:textId="77777777" w:rsidR="001D7943" w:rsidRDefault="00324C18">
      <w:pPr>
        <w:pStyle w:val="Sommario1"/>
        <w:rPr>
          <w:rFonts w:asciiTheme="minorHAnsi" w:eastAsiaTheme="minorEastAsia" w:hAnsiTheme="minorHAnsi" w:cstheme="minorBidi"/>
          <w:b w:val="0"/>
          <w:sz w:val="22"/>
          <w:szCs w:val="22"/>
        </w:rPr>
      </w:pPr>
      <w:hyperlink w:anchor="_Toc45528364" w:history="1">
        <w:r w:rsidR="001D7943" w:rsidRPr="00485212">
          <w:rPr>
            <w:rStyle w:val="Collegamentoipertestuale"/>
          </w:rPr>
          <w:t>2</w:t>
        </w:r>
        <w:r w:rsidR="001D7943">
          <w:rPr>
            <w:rFonts w:asciiTheme="minorHAnsi" w:eastAsiaTheme="minorEastAsia" w:hAnsiTheme="minorHAnsi" w:cstheme="minorBidi"/>
            <w:b w:val="0"/>
            <w:sz w:val="22"/>
            <w:szCs w:val="22"/>
          </w:rPr>
          <w:tab/>
        </w:r>
        <w:r w:rsidR="001D7943" w:rsidRPr="00485212">
          <w:rPr>
            <w:rStyle w:val="Collegamentoipertestuale"/>
          </w:rPr>
          <w:t>Relazione di accompagnamento al PEF</w:t>
        </w:r>
        <w:r w:rsidR="001D7943">
          <w:rPr>
            <w:webHidden/>
          </w:rPr>
          <w:tab/>
        </w:r>
        <w:r w:rsidR="001D7943">
          <w:rPr>
            <w:webHidden/>
          </w:rPr>
          <w:fldChar w:fldCharType="begin"/>
        </w:r>
        <w:r w:rsidR="001D7943">
          <w:rPr>
            <w:webHidden/>
          </w:rPr>
          <w:instrText xml:space="preserve"> PAGEREF _Toc45528364 \h </w:instrText>
        </w:r>
        <w:r w:rsidR="001D7943">
          <w:rPr>
            <w:webHidden/>
          </w:rPr>
        </w:r>
        <w:r w:rsidR="001D7943">
          <w:rPr>
            <w:webHidden/>
          </w:rPr>
          <w:fldChar w:fldCharType="separate"/>
        </w:r>
        <w:r w:rsidR="001D7943">
          <w:rPr>
            <w:webHidden/>
          </w:rPr>
          <w:t>2</w:t>
        </w:r>
        <w:r w:rsidR="001D7943">
          <w:rPr>
            <w:webHidden/>
          </w:rPr>
          <w:fldChar w:fldCharType="end"/>
        </w:r>
      </w:hyperlink>
    </w:p>
    <w:p w14:paraId="6F705A6D" w14:textId="77777777" w:rsidR="001D7943" w:rsidRDefault="00324C18">
      <w:pPr>
        <w:pStyle w:val="Sommario2"/>
        <w:rPr>
          <w:rFonts w:asciiTheme="minorHAnsi" w:eastAsiaTheme="minorEastAsia" w:hAnsiTheme="minorHAnsi" w:cstheme="minorBidi"/>
          <w:noProof/>
          <w:sz w:val="22"/>
          <w:szCs w:val="22"/>
        </w:rPr>
      </w:pPr>
      <w:hyperlink w:anchor="_Toc45528365" w:history="1">
        <w:r w:rsidR="001D7943" w:rsidRPr="00485212">
          <w:rPr>
            <w:rStyle w:val="Collegamentoipertestuale"/>
            <w:rFonts w:eastAsia="Times"/>
            <w:noProof/>
          </w:rPr>
          <w:t>2.1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Perimetro della gestione/affidamento e servizi forniti</w:t>
        </w:r>
        <w:r w:rsidR="001D7943">
          <w:rPr>
            <w:noProof/>
            <w:webHidden/>
          </w:rPr>
          <w:tab/>
        </w:r>
        <w:r w:rsidR="001D7943">
          <w:rPr>
            <w:noProof/>
            <w:webHidden/>
          </w:rPr>
          <w:fldChar w:fldCharType="begin"/>
        </w:r>
        <w:r w:rsidR="001D7943">
          <w:rPr>
            <w:noProof/>
            <w:webHidden/>
          </w:rPr>
          <w:instrText xml:space="preserve"> PAGEREF _Toc45528365 \h </w:instrText>
        </w:r>
        <w:r w:rsidR="001D7943">
          <w:rPr>
            <w:noProof/>
            <w:webHidden/>
          </w:rPr>
        </w:r>
        <w:r w:rsidR="001D7943">
          <w:rPr>
            <w:noProof/>
            <w:webHidden/>
          </w:rPr>
          <w:fldChar w:fldCharType="separate"/>
        </w:r>
        <w:r w:rsidR="001D7943">
          <w:rPr>
            <w:noProof/>
            <w:webHidden/>
          </w:rPr>
          <w:t>2</w:t>
        </w:r>
        <w:r w:rsidR="001D7943">
          <w:rPr>
            <w:noProof/>
            <w:webHidden/>
          </w:rPr>
          <w:fldChar w:fldCharType="end"/>
        </w:r>
      </w:hyperlink>
    </w:p>
    <w:p w14:paraId="4449EC3A" w14:textId="77777777" w:rsidR="001D7943" w:rsidRDefault="00324C18">
      <w:pPr>
        <w:pStyle w:val="Sommario2"/>
        <w:rPr>
          <w:rFonts w:asciiTheme="minorHAnsi" w:eastAsiaTheme="minorEastAsia" w:hAnsiTheme="minorHAnsi" w:cstheme="minorBidi"/>
          <w:noProof/>
          <w:sz w:val="22"/>
          <w:szCs w:val="22"/>
        </w:rPr>
      </w:pPr>
      <w:hyperlink w:anchor="_Toc45528366" w:history="1">
        <w:r w:rsidR="001D7943" w:rsidRPr="00485212">
          <w:rPr>
            <w:rStyle w:val="Collegamentoipertestuale"/>
            <w:rFonts w:eastAsia="Times"/>
            <w:noProof/>
          </w:rPr>
          <w:t>2.2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Altre informazioni rilevanti</w:t>
        </w:r>
        <w:r w:rsidR="001D7943">
          <w:rPr>
            <w:noProof/>
            <w:webHidden/>
          </w:rPr>
          <w:tab/>
        </w:r>
        <w:r w:rsidR="001D7943">
          <w:rPr>
            <w:noProof/>
            <w:webHidden/>
          </w:rPr>
          <w:fldChar w:fldCharType="begin"/>
        </w:r>
        <w:r w:rsidR="001D7943">
          <w:rPr>
            <w:noProof/>
            <w:webHidden/>
          </w:rPr>
          <w:instrText xml:space="preserve"> PAGEREF _Toc45528366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62F844CF" w14:textId="77777777" w:rsidR="001D7943" w:rsidRDefault="00324C18">
      <w:pPr>
        <w:pStyle w:val="Sommario1"/>
        <w:rPr>
          <w:rFonts w:asciiTheme="minorHAnsi" w:eastAsiaTheme="minorEastAsia" w:hAnsiTheme="minorHAnsi" w:cstheme="minorBidi"/>
          <w:b w:val="0"/>
          <w:sz w:val="22"/>
          <w:szCs w:val="22"/>
        </w:rPr>
      </w:pPr>
      <w:hyperlink w:anchor="_Toc45528367" w:history="1">
        <w:r w:rsidR="001D7943" w:rsidRPr="00485212">
          <w:rPr>
            <w:rStyle w:val="Collegamentoipertestuale"/>
          </w:rPr>
          <w:t>3</w:t>
        </w:r>
        <w:r w:rsidR="001D7943">
          <w:rPr>
            <w:rFonts w:asciiTheme="minorHAnsi" w:eastAsiaTheme="minorEastAsia" w:hAnsiTheme="minorHAnsi" w:cstheme="minorBidi"/>
            <w:b w:val="0"/>
            <w:sz w:val="22"/>
            <w:szCs w:val="22"/>
          </w:rPr>
          <w:tab/>
        </w:r>
        <w:r w:rsidR="001D7943" w:rsidRPr="00485212">
          <w:rPr>
            <w:rStyle w:val="Collegamentoipertestuale"/>
          </w:rPr>
          <w:t>Dati relativi alla gestione dell’ambito o bacino di affidamento</w:t>
        </w:r>
        <w:r w:rsidR="001D7943">
          <w:rPr>
            <w:webHidden/>
          </w:rPr>
          <w:tab/>
        </w:r>
        <w:r w:rsidR="001D7943">
          <w:rPr>
            <w:webHidden/>
          </w:rPr>
          <w:fldChar w:fldCharType="begin"/>
        </w:r>
        <w:r w:rsidR="001D7943">
          <w:rPr>
            <w:webHidden/>
          </w:rPr>
          <w:instrText xml:space="preserve"> PAGEREF _Toc45528367 \h </w:instrText>
        </w:r>
        <w:r w:rsidR="001D7943">
          <w:rPr>
            <w:webHidden/>
          </w:rPr>
        </w:r>
        <w:r w:rsidR="001D7943">
          <w:rPr>
            <w:webHidden/>
          </w:rPr>
          <w:fldChar w:fldCharType="separate"/>
        </w:r>
        <w:r w:rsidR="001D7943">
          <w:rPr>
            <w:webHidden/>
          </w:rPr>
          <w:t>3</w:t>
        </w:r>
        <w:r w:rsidR="001D7943">
          <w:rPr>
            <w:webHidden/>
          </w:rPr>
          <w:fldChar w:fldCharType="end"/>
        </w:r>
      </w:hyperlink>
    </w:p>
    <w:p w14:paraId="6974ADEF" w14:textId="77777777" w:rsidR="001D7943" w:rsidRDefault="00324C18">
      <w:pPr>
        <w:pStyle w:val="Sommario2"/>
        <w:rPr>
          <w:rFonts w:asciiTheme="minorHAnsi" w:eastAsiaTheme="minorEastAsia" w:hAnsiTheme="minorHAnsi" w:cstheme="minorBidi"/>
          <w:noProof/>
          <w:sz w:val="22"/>
          <w:szCs w:val="22"/>
        </w:rPr>
      </w:pPr>
      <w:hyperlink w:anchor="_Toc45528368" w:history="1">
        <w:r w:rsidR="001D7943" w:rsidRPr="00485212">
          <w:rPr>
            <w:rStyle w:val="Collegamentoipertestuale"/>
            <w:rFonts w:eastAsia="Times"/>
            <w:noProof/>
          </w:rPr>
          <w:t>3.1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tecnici e patrimoniali</w:t>
        </w:r>
        <w:r w:rsidR="001D7943">
          <w:rPr>
            <w:noProof/>
            <w:webHidden/>
          </w:rPr>
          <w:tab/>
        </w:r>
        <w:r w:rsidR="001D7943">
          <w:rPr>
            <w:noProof/>
            <w:webHidden/>
          </w:rPr>
          <w:fldChar w:fldCharType="begin"/>
        </w:r>
        <w:r w:rsidR="001D7943">
          <w:rPr>
            <w:noProof/>
            <w:webHidden/>
          </w:rPr>
          <w:instrText xml:space="preserve"> PAGEREF _Toc45528368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3C41A9E1" w14:textId="77777777" w:rsidR="001D7943" w:rsidRDefault="00324C18">
      <w:pPr>
        <w:pStyle w:val="Sommario3"/>
        <w:rPr>
          <w:rFonts w:asciiTheme="minorHAnsi" w:eastAsiaTheme="minorEastAsia" w:hAnsiTheme="minorHAnsi" w:cstheme="minorBidi"/>
          <w:noProof/>
          <w:sz w:val="22"/>
          <w:szCs w:val="22"/>
        </w:rPr>
      </w:pPr>
      <w:hyperlink w:anchor="_Toc45528369" w:history="1">
        <w:r w:rsidR="001D7943" w:rsidRPr="00485212">
          <w:rPr>
            <w:rStyle w:val="Collegamentoipertestuale"/>
            <w:rFonts w:eastAsia="Times"/>
            <w:noProof/>
          </w:rPr>
          <w:t>3.1.1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sul territorio gestito e sull’affidamento</w:t>
        </w:r>
        <w:r w:rsidR="001D7943">
          <w:rPr>
            <w:noProof/>
            <w:webHidden/>
          </w:rPr>
          <w:tab/>
        </w:r>
        <w:r w:rsidR="001D7943">
          <w:rPr>
            <w:noProof/>
            <w:webHidden/>
          </w:rPr>
          <w:fldChar w:fldCharType="begin"/>
        </w:r>
        <w:r w:rsidR="001D7943">
          <w:rPr>
            <w:noProof/>
            <w:webHidden/>
          </w:rPr>
          <w:instrText xml:space="preserve"> PAGEREF _Toc45528369 \h </w:instrText>
        </w:r>
        <w:r w:rsidR="001D7943">
          <w:rPr>
            <w:noProof/>
            <w:webHidden/>
          </w:rPr>
        </w:r>
        <w:r w:rsidR="001D7943">
          <w:rPr>
            <w:noProof/>
            <w:webHidden/>
          </w:rPr>
          <w:fldChar w:fldCharType="separate"/>
        </w:r>
        <w:r w:rsidR="001D7943">
          <w:rPr>
            <w:noProof/>
            <w:webHidden/>
          </w:rPr>
          <w:t>3</w:t>
        </w:r>
        <w:r w:rsidR="001D7943">
          <w:rPr>
            <w:noProof/>
            <w:webHidden/>
          </w:rPr>
          <w:fldChar w:fldCharType="end"/>
        </w:r>
      </w:hyperlink>
    </w:p>
    <w:p w14:paraId="3E1EE079" w14:textId="77777777" w:rsidR="001D7943" w:rsidRDefault="00324C18">
      <w:pPr>
        <w:pStyle w:val="Sommario3"/>
        <w:rPr>
          <w:rFonts w:asciiTheme="minorHAnsi" w:eastAsiaTheme="minorEastAsia" w:hAnsiTheme="minorHAnsi" w:cstheme="minorBidi"/>
          <w:noProof/>
          <w:sz w:val="22"/>
          <w:szCs w:val="22"/>
        </w:rPr>
      </w:pPr>
      <w:hyperlink w:anchor="_Toc45528370" w:history="1">
        <w:r w:rsidR="001D7943" w:rsidRPr="00485212">
          <w:rPr>
            <w:rStyle w:val="Collegamentoipertestuale"/>
            <w:rFonts w:eastAsia="Times"/>
            <w:noProof/>
          </w:rPr>
          <w:t>3.1.2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tecnici e di qualità</w:t>
        </w:r>
        <w:r w:rsidR="001D7943">
          <w:rPr>
            <w:noProof/>
            <w:webHidden/>
          </w:rPr>
          <w:tab/>
        </w:r>
        <w:r w:rsidR="001D7943">
          <w:rPr>
            <w:noProof/>
            <w:webHidden/>
          </w:rPr>
          <w:fldChar w:fldCharType="begin"/>
        </w:r>
        <w:r w:rsidR="001D7943">
          <w:rPr>
            <w:noProof/>
            <w:webHidden/>
          </w:rPr>
          <w:instrText xml:space="preserve"> PAGEREF _Toc45528370 \h </w:instrText>
        </w:r>
        <w:r w:rsidR="001D7943">
          <w:rPr>
            <w:noProof/>
            <w:webHidden/>
          </w:rPr>
        </w:r>
        <w:r w:rsidR="001D7943">
          <w:rPr>
            <w:noProof/>
            <w:webHidden/>
          </w:rPr>
          <w:fldChar w:fldCharType="separate"/>
        </w:r>
        <w:r w:rsidR="001D7943">
          <w:rPr>
            <w:noProof/>
            <w:webHidden/>
          </w:rPr>
          <w:t>4</w:t>
        </w:r>
        <w:r w:rsidR="001D7943">
          <w:rPr>
            <w:noProof/>
            <w:webHidden/>
          </w:rPr>
          <w:fldChar w:fldCharType="end"/>
        </w:r>
      </w:hyperlink>
    </w:p>
    <w:p w14:paraId="41966397" w14:textId="77777777" w:rsidR="001D7943" w:rsidRDefault="00324C18">
      <w:pPr>
        <w:pStyle w:val="Sommario3"/>
        <w:rPr>
          <w:rFonts w:asciiTheme="minorHAnsi" w:eastAsiaTheme="minorEastAsia" w:hAnsiTheme="minorHAnsi" w:cstheme="minorBidi"/>
          <w:noProof/>
          <w:sz w:val="22"/>
          <w:szCs w:val="22"/>
        </w:rPr>
      </w:pPr>
      <w:hyperlink w:anchor="_Toc45528371" w:history="1">
        <w:r w:rsidR="001D7943" w:rsidRPr="00485212">
          <w:rPr>
            <w:rStyle w:val="Collegamentoipertestuale"/>
            <w:rFonts w:eastAsia="Times"/>
            <w:noProof/>
          </w:rPr>
          <w:t>3.1.3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Fonti di finanziamento</w:t>
        </w:r>
        <w:r w:rsidR="001D7943">
          <w:rPr>
            <w:noProof/>
            <w:webHidden/>
          </w:rPr>
          <w:tab/>
        </w:r>
        <w:r w:rsidR="001D7943">
          <w:rPr>
            <w:noProof/>
            <w:webHidden/>
          </w:rPr>
          <w:fldChar w:fldCharType="begin"/>
        </w:r>
        <w:r w:rsidR="001D7943">
          <w:rPr>
            <w:noProof/>
            <w:webHidden/>
          </w:rPr>
          <w:instrText xml:space="preserve"> PAGEREF _Toc45528371 \h </w:instrText>
        </w:r>
        <w:r w:rsidR="001D7943">
          <w:rPr>
            <w:noProof/>
            <w:webHidden/>
          </w:rPr>
        </w:r>
        <w:r w:rsidR="001D7943">
          <w:rPr>
            <w:noProof/>
            <w:webHidden/>
          </w:rPr>
          <w:fldChar w:fldCharType="separate"/>
        </w:r>
        <w:r w:rsidR="001D7943">
          <w:rPr>
            <w:noProof/>
            <w:webHidden/>
          </w:rPr>
          <w:t>4</w:t>
        </w:r>
        <w:r w:rsidR="001D7943">
          <w:rPr>
            <w:noProof/>
            <w:webHidden/>
          </w:rPr>
          <w:fldChar w:fldCharType="end"/>
        </w:r>
      </w:hyperlink>
    </w:p>
    <w:p w14:paraId="41776555" w14:textId="77777777" w:rsidR="001D7943" w:rsidRDefault="00324C18">
      <w:pPr>
        <w:pStyle w:val="Sommario2"/>
        <w:rPr>
          <w:rFonts w:asciiTheme="minorHAnsi" w:eastAsiaTheme="minorEastAsia" w:hAnsiTheme="minorHAnsi" w:cstheme="minorBidi"/>
          <w:noProof/>
          <w:sz w:val="22"/>
          <w:szCs w:val="22"/>
        </w:rPr>
      </w:pPr>
      <w:hyperlink w:anchor="_Toc45528372" w:history="1">
        <w:r w:rsidR="001D7943" w:rsidRPr="00485212">
          <w:rPr>
            <w:rStyle w:val="Collegamentoipertestuale"/>
            <w:rFonts w:eastAsia="Times"/>
            <w:noProof/>
          </w:rPr>
          <w:t>3.2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per la determinazione delle entrate di riferimento</w:t>
        </w:r>
        <w:r w:rsidR="001D7943">
          <w:rPr>
            <w:noProof/>
            <w:webHidden/>
          </w:rPr>
          <w:tab/>
        </w:r>
        <w:r w:rsidR="001D7943">
          <w:rPr>
            <w:noProof/>
            <w:webHidden/>
          </w:rPr>
          <w:fldChar w:fldCharType="begin"/>
        </w:r>
        <w:r w:rsidR="001D7943">
          <w:rPr>
            <w:noProof/>
            <w:webHidden/>
          </w:rPr>
          <w:instrText xml:space="preserve"> PAGEREF _Toc45528372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1C7740AD" w14:textId="77777777" w:rsidR="001D7943" w:rsidRDefault="00324C18">
      <w:pPr>
        <w:pStyle w:val="Sommario3"/>
        <w:rPr>
          <w:rFonts w:asciiTheme="minorHAnsi" w:eastAsiaTheme="minorEastAsia" w:hAnsiTheme="minorHAnsi" w:cstheme="minorBidi"/>
          <w:noProof/>
          <w:sz w:val="22"/>
          <w:szCs w:val="22"/>
        </w:rPr>
      </w:pPr>
      <w:hyperlink w:anchor="_Toc45528373" w:history="1">
        <w:r w:rsidR="001D7943" w:rsidRPr="00485212">
          <w:rPr>
            <w:rStyle w:val="Collegamentoipertestuale"/>
            <w:rFonts w:eastAsia="Times"/>
            <w:noProof/>
          </w:rPr>
          <w:t>3.2.1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di conto economico</w:t>
        </w:r>
        <w:r w:rsidR="001D7943">
          <w:rPr>
            <w:noProof/>
            <w:webHidden/>
          </w:rPr>
          <w:tab/>
        </w:r>
        <w:r w:rsidR="001D7943">
          <w:rPr>
            <w:noProof/>
            <w:webHidden/>
          </w:rPr>
          <w:fldChar w:fldCharType="begin"/>
        </w:r>
        <w:r w:rsidR="001D7943">
          <w:rPr>
            <w:noProof/>
            <w:webHidden/>
          </w:rPr>
          <w:instrText xml:space="preserve"> PAGEREF _Toc45528373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25F8FBAD" w14:textId="77777777" w:rsidR="001D7943" w:rsidRDefault="00324C18">
      <w:pPr>
        <w:pStyle w:val="Sommario3"/>
        <w:rPr>
          <w:rFonts w:asciiTheme="minorHAnsi" w:eastAsiaTheme="minorEastAsia" w:hAnsiTheme="minorHAnsi" w:cstheme="minorBidi"/>
          <w:noProof/>
          <w:sz w:val="22"/>
          <w:szCs w:val="22"/>
        </w:rPr>
      </w:pPr>
      <w:hyperlink w:anchor="_Toc45528374" w:history="1">
        <w:r w:rsidR="001D7943" w:rsidRPr="00485212">
          <w:rPr>
            <w:rStyle w:val="Collegamentoipertestuale"/>
            <w:rFonts w:eastAsia="Times"/>
            <w:noProof/>
          </w:rPr>
          <w:t>3.2.2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Focus sui ricavi derivanti da vendita di materiali e/o energia</w:t>
        </w:r>
        <w:r w:rsidR="001D7943">
          <w:rPr>
            <w:noProof/>
            <w:webHidden/>
          </w:rPr>
          <w:tab/>
        </w:r>
        <w:r w:rsidR="001D7943">
          <w:rPr>
            <w:noProof/>
            <w:webHidden/>
          </w:rPr>
          <w:fldChar w:fldCharType="begin"/>
        </w:r>
        <w:r w:rsidR="001D7943">
          <w:rPr>
            <w:noProof/>
            <w:webHidden/>
          </w:rPr>
          <w:instrText xml:space="preserve"> PAGEREF _Toc45528374 \h </w:instrText>
        </w:r>
        <w:r w:rsidR="001D7943">
          <w:rPr>
            <w:noProof/>
            <w:webHidden/>
          </w:rPr>
        </w:r>
        <w:r w:rsidR="001D7943">
          <w:rPr>
            <w:noProof/>
            <w:webHidden/>
          </w:rPr>
          <w:fldChar w:fldCharType="separate"/>
        </w:r>
        <w:r w:rsidR="001D7943">
          <w:rPr>
            <w:noProof/>
            <w:webHidden/>
          </w:rPr>
          <w:t>5</w:t>
        </w:r>
        <w:r w:rsidR="001D7943">
          <w:rPr>
            <w:noProof/>
            <w:webHidden/>
          </w:rPr>
          <w:fldChar w:fldCharType="end"/>
        </w:r>
      </w:hyperlink>
    </w:p>
    <w:p w14:paraId="5BDBD29E" w14:textId="77777777" w:rsidR="001D7943" w:rsidRDefault="00324C18">
      <w:pPr>
        <w:pStyle w:val="Sommario3"/>
        <w:rPr>
          <w:rFonts w:asciiTheme="minorHAnsi" w:eastAsiaTheme="minorEastAsia" w:hAnsiTheme="minorHAnsi" w:cstheme="minorBidi"/>
          <w:noProof/>
          <w:sz w:val="22"/>
          <w:szCs w:val="22"/>
        </w:rPr>
      </w:pPr>
      <w:hyperlink w:anchor="_Toc45528375" w:history="1">
        <w:r w:rsidR="001D7943" w:rsidRPr="00485212">
          <w:rPr>
            <w:rStyle w:val="Collegamentoipertestuale"/>
            <w:rFonts w:eastAsia="Times"/>
            <w:noProof/>
          </w:rPr>
          <w:t>3.2.3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di conto economico relativo alla componente a conguaglio</w:t>
        </w:r>
        <w:r w:rsidR="001D7943">
          <w:rPr>
            <w:noProof/>
            <w:webHidden/>
          </w:rPr>
          <w:tab/>
        </w:r>
        <w:r w:rsidR="001D7943">
          <w:rPr>
            <w:noProof/>
            <w:webHidden/>
          </w:rPr>
          <w:fldChar w:fldCharType="begin"/>
        </w:r>
        <w:r w:rsidR="001D7943">
          <w:rPr>
            <w:noProof/>
            <w:webHidden/>
          </w:rPr>
          <w:instrText xml:space="preserve"> PAGEREF _Toc45528375 \h </w:instrText>
        </w:r>
        <w:r w:rsidR="001D7943">
          <w:rPr>
            <w:noProof/>
            <w:webHidden/>
          </w:rPr>
        </w:r>
        <w:r w:rsidR="001D7943">
          <w:rPr>
            <w:noProof/>
            <w:webHidden/>
          </w:rPr>
          <w:fldChar w:fldCharType="separate"/>
        </w:r>
        <w:r w:rsidR="001D7943">
          <w:rPr>
            <w:noProof/>
            <w:webHidden/>
          </w:rPr>
          <w:t>6</w:t>
        </w:r>
        <w:r w:rsidR="001D7943">
          <w:rPr>
            <w:noProof/>
            <w:webHidden/>
          </w:rPr>
          <w:fldChar w:fldCharType="end"/>
        </w:r>
      </w:hyperlink>
    </w:p>
    <w:p w14:paraId="1B2BEF23" w14:textId="77777777" w:rsidR="001D7943" w:rsidRDefault="00324C18">
      <w:pPr>
        <w:pStyle w:val="Sommario3"/>
        <w:rPr>
          <w:rFonts w:asciiTheme="minorHAnsi" w:eastAsiaTheme="minorEastAsia" w:hAnsiTheme="minorHAnsi" w:cstheme="minorBidi"/>
          <w:noProof/>
          <w:sz w:val="22"/>
          <w:szCs w:val="22"/>
        </w:rPr>
      </w:pPr>
      <w:hyperlink w:anchor="_Toc45528376" w:history="1">
        <w:r w:rsidR="001D7943" w:rsidRPr="00485212">
          <w:rPr>
            <w:rStyle w:val="Collegamentoipertestuale"/>
            <w:rFonts w:eastAsia="Times"/>
            <w:noProof/>
          </w:rPr>
          <w:t>3.2.4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Dati relativi ai costi di capitale</w:t>
        </w:r>
        <w:r w:rsidR="001D7943">
          <w:rPr>
            <w:noProof/>
            <w:webHidden/>
          </w:rPr>
          <w:tab/>
        </w:r>
        <w:r w:rsidR="001D7943">
          <w:rPr>
            <w:noProof/>
            <w:webHidden/>
          </w:rPr>
          <w:fldChar w:fldCharType="begin"/>
        </w:r>
        <w:r w:rsidR="001D7943">
          <w:rPr>
            <w:noProof/>
            <w:webHidden/>
          </w:rPr>
          <w:instrText xml:space="preserve"> PAGEREF _Toc45528376 \h </w:instrText>
        </w:r>
        <w:r w:rsidR="001D7943">
          <w:rPr>
            <w:noProof/>
            <w:webHidden/>
          </w:rPr>
        </w:r>
        <w:r w:rsidR="001D7943">
          <w:rPr>
            <w:noProof/>
            <w:webHidden/>
          </w:rPr>
          <w:fldChar w:fldCharType="separate"/>
        </w:r>
        <w:r w:rsidR="001D7943">
          <w:rPr>
            <w:noProof/>
            <w:webHidden/>
          </w:rPr>
          <w:t>6</w:t>
        </w:r>
        <w:r w:rsidR="001D7943">
          <w:rPr>
            <w:noProof/>
            <w:webHidden/>
          </w:rPr>
          <w:fldChar w:fldCharType="end"/>
        </w:r>
      </w:hyperlink>
    </w:p>
    <w:p w14:paraId="7F81CF3A" w14:textId="77777777" w:rsidR="001D7943" w:rsidRDefault="00324C18">
      <w:pPr>
        <w:pStyle w:val="Sommario2"/>
        <w:rPr>
          <w:rFonts w:asciiTheme="minorHAnsi" w:eastAsiaTheme="minorEastAsia" w:hAnsiTheme="minorHAnsi" w:cstheme="minorBidi"/>
          <w:noProof/>
          <w:sz w:val="22"/>
          <w:szCs w:val="22"/>
        </w:rPr>
      </w:pPr>
      <w:hyperlink w:anchor="_Toc45528377" w:history="1">
        <w:r w:rsidR="001D7943" w:rsidRPr="00485212">
          <w:rPr>
            <w:rStyle w:val="Collegamentoipertestuale"/>
            <w:rFonts w:eastAsia="Times"/>
            <w:noProof/>
          </w:rPr>
          <w:t>3.3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di competenza dell’Ente/comune</w:t>
        </w:r>
        <w:r w:rsidR="001D7943">
          <w:rPr>
            <w:noProof/>
            <w:webHidden/>
          </w:rPr>
          <w:tab/>
        </w:r>
        <w:r w:rsidR="001D7943">
          <w:rPr>
            <w:noProof/>
            <w:webHidden/>
          </w:rPr>
          <w:fldChar w:fldCharType="begin"/>
        </w:r>
        <w:r w:rsidR="001D7943">
          <w:rPr>
            <w:noProof/>
            <w:webHidden/>
          </w:rPr>
          <w:instrText xml:space="preserve"> PAGEREF _Toc45528377 \h </w:instrText>
        </w:r>
        <w:r w:rsidR="001D7943">
          <w:rPr>
            <w:noProof/>
            <w:webHidden/>
          </w:rPr>
        </w:r>
        <w:r w:rsidR="001D7943">
          <w:rPr>
            <w:noProof/>
            <w:webHidden/>
          </w:rPr>
          <w:fldChar w:fldCharType="separate"/>
        </w:r>
        <w:r w:rsidR="001D7943">
          <w:rPr>
            <w:noProof/>
            <w:webHidden/>
          </w:rPr>
          <w:t>8</w:t>
        </w:r>
        <w:r w:rsidR="001D7943">
          <w:rPr>
            <w:noProof/>
            <w:webHidden/>
          </w:rPr>
          <w:fldChar w:fldCharType="end"/>
        </w:r>
      </w:hyperlink>
    </w:p>
    <w:p w14:paraId="31F7E925" w14:textId="77777777" w:rsidR="001D7943" w:rsidRDefault="00324C18">
      <w:pPr>
        <w:pStyle w:val="Sommario2"/>
        <w:rPr>
          <w:rFonts w:asciiTheme="minorHAnsi" w:eastAsiaTheme="minorEastAsia" w:hAnsiTheme="minorHAnsi" w:cstheme="minorBidi"/>
          <w:noProof/>
          <w:sz w:val="22"/>
          <w:szCs w:val="22"/>
        </w:rPr>
      </w:pPr>
      <w:hyperlink w:anchor="_Toc45528378" w:history="1">
        <w:r w:rsidR="001D7943" w:rsidRPr="00485212">
          <w:rPr>
            <w:rStyle w:val="Collegamentoipertestuale"/>
            <w:rFonts w:eastAsia="Times"/>
            <w:noProof/>
          </w:rPr>
          <w:t>3.4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Condizione per la riclassificazione dei costi fissi e variabili</w:t>
        </w:r>
        <w:r w:rsidR="001D7943">
          <w:rPr>
            <w:noProof/>
            <w:webHidden/>
          </w:rPr>
          <w:tab/>
        </w:r>
        <w:r w:rsidR="001D7943">
          <w:rPr>
            <w:noProof/>
            <w:webHidden/>
          </w:rPr>
          <w:fldChar w:fldCharType="begin"/>
        </w:r>
        <w:r w:rsidR="001D7943">
          <w:rPr>
            <w:noProof/>
            <w:webHidden/>
          </w:rPr>
          <w:instrText xml:space="preserve"> PAGEREF _Toc45528378 \h </w:instrText>
        </w:r>
        <w:r w:rsidR="001D7943">
          <w:rPr>
            <w:noProof/>
            <w:webHidden/>
          </w:rPr>
        </w:r>
        <w:r w:rsidR="001D7943">
          <w:rPr>
            <w:noProof/>
            <w:webHidden/>
          </w:rPr>
          <w:fldChar w:fldCharType="separate"/>
        </w:r>
        <w:r w:rsidR="001D7943">
          <w:rPr>
            <w:noProof/>
            <w:webHidden/>
          </w:rPr>
          <w:t>8</w:t>
        </w:r>
        <w:r w:rsidR="001D7943">
          <w:rPr>
            <w:noProof/>
            <w:webHidden/>
          </w:rPr>
          <w:fldChar w:fldCharType="end"/>
        </w:r>
      </w:hyperlink>
    </w:p>
    <w:p w14:paraId="0EB7FAB3" w14:textId="77777777" w:rsidR="001D7943" w:rsidRDefault="00324C18">
      <w:pPr>
        <w:pStyle w:val="Sommario1"/>
        <w:rPr>
          <w:rFonts w:asciiTheme="minorHAnsi" w:eastAsiaTheme="minorEastAsia" w:hAnsiTheme="minorHAnsi" w:cstheme="minorBidi"/>
          <w:b w:val="0"/>
          <w:sz w:val="22"/>
          <w:szCs w:val="22"/>
        </w:rPr>
      </w:pPr>
      <w:hyperlink w:anchor="_Toc45528379" w:history="1">
        <w:r w:rsidR="001D7943" w:rsidRPr="00485212">
          <w:rPr>
            <w:rStyle w:val="Collegamentoipertestuale"/>
          </w:rPr>
          <w:t>4</w:t>
        </w:r>
        <w:r w:rsidR="001D7943">
          <w:rPr>
            <w:rFonts w:asciiTheme="minorHAnsi" w:eastAsiaTheme="minorEastAsia" w:hAnsiTheme="minorHAnsi" w:cstheme="minorBidi"/>
            <w:b w:val="0"/>
            <w:sz w:val="22"/>
            <w:szCs w:val="22"/>
          </w:rPr>
          <w:tab/>
        </w:r>
        <w:r w:rsidR="001D7943" w:rsidRPr="00485212">
          <w:rPr>
            <w:rStyle w:val="Collegamentoipertestuale"/>
          </w:rPr>
          <w:t>Valutazioni dell’Ente territorialmente competente</w:t>
        </w:r>
        <w:r w:rsidR="001D7943">
          <w:rPr>
            <w:webHidden/>
          </w:rPr>
          <w:tab/>
        </w:r>
        <w:r w:rsidR="001D7943">
          <w:rPr>
            <w:webHidden/>
          </w:rPr>
          <w:fldChar w:fldCharType="begin"/>
        </w:r>
        <w:r w:rsidR="001D7943">
          <w:rPr>
            <w:webHidden/>
          </w:rPr>
          <w:instrText xml:space="preserve"> PAGEREF _Toc45528379 \h </w:instrText>
        </w:r>
        <w:r w:rsidR="001D7943">
          <w:rPr>
            <w:webHidden/>
          </w:rPr>
        </w:r>
        <w:r w:rsidR="001D7943">
          <w:rPr>
            <w:webHidden/>
          </w:rPr>
          <w:fldChar w:fldCharType="separate"/>
        </w:r>
        <w:r w:rsidR="001D7943">
          <w:rPr>
            <w:webHidden/>
          </w:rPr>
          <w:t>9</w:t>
        </w:r>
        <w:r w:rsidR="001D7943">
          <w:rPr>
            <w:webHidden/>
          </w:rPr>
          <w:fldChar w:fldCharType="end"/>
        </w:r>
      </w:hyperlink>
    </w:p>
    <w:p w14:paraId="431958BA" w14:textId="77777777" w:rsidR="001D7943" w:rsidRDefault="00324C18">
      <w:pPr>
        <w:pStyle w:val="Sommario2"/>
        <w:rPr>
          <w:rFonts w:asciiTheme="minorHAnsi" w:eastAsiaTheme="minorEastAsia" w:hAnsiTheme="minorHAnsi" w:cstheme="minorBidi"/>
          <w:noProof/>
          <w:sz w:val="22"/>
          <w:szCs w:val="22"/>
        </w:rPr>
      </w:pPr>
      <w:hyperlink w:anchor="_Toc45528380" w:history="1">
        <w:r w:rsidR="001D7943" w:rsidRPr="00485212">
          <w:rPr>
            <w:rStyle w:val="Collegamentoipertestuale"/>
            <w:rFonts w:eastAsia="Times"/>
            <w:noProof/>
          </w:rPr>
          <w:t>4.1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Attività di validazione svolta</w:t>
        </w:r>
        <w:r w:rsidR="001D7943">
          <w:rPr>
            <w:noProof/>
            <w:webHidden/>
          </w:rPr>
          <w:tab/>
        </w:r>
        <w:r w:rsidR="001D7943">
          <w:rPr>
            <w:noProof/>
            <w:webHidden/>
          </w:rPr>
          <w:fldChar w:fldCharType="begin"/>
        </w:r>
        <w:r w:rsidR="001D7943">
          <w:rPr>
            <w:noProof/>
            <w:webHidden/>
          </w:rPr>
          <w:instrText xml:space="preserve"> PAGEREF _Toc45528380 \h </w:instrText>
        </w:r>
        <w:r w:rsidR="001D7943">
          <w:rPr>
            <w:noProof/>
            <w:webHidden/>
          </w:rPr>
        </w:r>
        <w:r w:rsidR="001D7943">
          <w:rPr>
            <w:noProof/>
            <w:webHidden/>
          </w:rPr>
          <w:fldChar w:fldCharType="separate"/>
        </w:r>
        <w:r w:rsidR="001D7943">
          <w:rPr>
            <w:noProof/>
            <w:webHidden/>
          </w:rPr>
          <w:t>9</w:t>
        </w:r>
        <w:r w:rsidR="001D7943">
          <w:rPr>
            <w:noProof/>
            <w:webHidden/>
          </w:rPr>
          <w:fldChar w:fldCharType="end"/>
        </w:r>
      </w:hyperlink>
    </w:p>
    <w:p w14:paraId="3E6DBE26" w14:textId="77777777" w:rsidR="001D7943" w:rsidRDefault="00324C18">
      <w:pPr>
        <w:pStyle w:val="Sommario2"/>
        <w:rPr>
          <w:rFonts w:asciiTheme="minorHAnsi" w:eastAsiaTheme="minorEastAsia" w:hAnsiTheme="minorHAnsi" w:cstheme="minorBidi"/>
          <w:noProof/>
          <w:sz w:val="22"/>
          <w:szCs w:val="22"/>
        </w:rPr>
      </w:pPr>
      <w:hyperlink w:anchor="_Toc45528381" w:history="1">
        <w:r w:rsidR="001D7943" w:rsidRPr="00485212">
          <w:rPr>
            <w:rStyle w:val="Collegamentoipertestuale"/>
            <w:rFonts w:eastAsia="Times"/>
            <w:noProof/>
          </w:rPr>
          <w:t>4.2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Limite alla crescita annuale delle entrate tariffarie</w:t>
        </w:r>
        <w:r w:rsidR="001D7943">
          <w:rPr>
            <w:noProof/>
            <w:webHidden/>
          </w:rPr>
          <w:tab/>
        </w:r>
        <w:r w:rsidR="001D7943">
          <w:rPr>
            <w:noProof/>
            <w:webHidden/>
          </w:rPr>
          <w:fldChar w:fldCharType="begin"/>
        </w:r>
        <w:r w:rsidR="001D7943">
          <w:rPr>
            <w:noProof/>
            <w:webHidden/>
          </w:rPr>
          <w:instrText xml:space="preserve"> PAGEREF _Toc45528381 \h </w:instrText>
        </w:r>
        <w:r w:rsidR="001D7943">
          <w:rPr>
            <w:noProof/>
            <w:webHidden/>
          </w:rPr>
        </w:r>
        <w:r w:rsidR="001D7943">
          <w:rPr>
            <w:noProof/>
            <w:webHidden/>
          </w:rPr>
          <w:fldChar w:fldCharType="separate"/>
        </w:r>
        <w:r w:rsidR="001D7943">
          <w:rPr>
            <w:noProof/>
            <w:webHidden/>
          </w:rPr>
          <w:t>9</w:t>
        </w:r>
        <w:r w:rsidR="001D7943">
          <w:rPr>
            <w:noProof/>
            <w:webHidden/>
          </w:rPr>
          <w:fldChar w:fldCharType="end"/>
        </w:r>
      </w:hyperlink>
    </w:p>
    <w:p w14:paraId="132484D6" w14:textId="77777777" w:rsidR="001D7943" w:rsidRDefault="00324C18">
      <w:pPr>
        <w:pStyle w:val="Sommario2"/>
        <w:rPr>
          <w:rFonts w:asciiTheme="minorHAnsi" w:eastAsiaTheme="minorEastAsia" w:hAnsiTheme="minorHAnsi" w:cstheme="minorBidi"/>
          <w:noProof/>
          <w:sz w:val="22"/>
          <w:szCs w:val="22"/>
        </w:rPr>
      </w:pPr>
      <w:hyperlink w:anchor="_Toc45528382" w:history="1">
        <w:r w:rsidR="001D7943" w:rsidRPr="00485212">
          <w:rPr>
            <w:rStyle w:val="Collegamentoipertestuale"/>
            <w:rFonts w:eastAsia="Times"/>
            <w:noProof/>
          </w:rPr>
          <w:t>4.3</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operativi incentivanti</w:t>
        </w:r>
        <w:r w:rsidR="001D7943">
          <w:rPr>
            <w:noProof/>
            <w:webHidden/>
          </w:rPr>
          <w:tab/>
        </w:r>
        <w:r w:rsidR="001D7943">
          <w:rPr>
            <w:noProof/>
            <w:webHidden/>
          </w:rPr>
          <w:fldChar w:fldCharType="begin"/>
        </w:r>
        <w:r w:rsidR="001D7943">
          <w:rPr>
            <w:noProof/>
            <w:webHidden/>
          </w:rPr>
          <w:instrText xml:space="preserve"> PAGEREF _Toc45528382 \h </w:instrText>
        </w:r>
        <w:r w:rsidR="001D7943">
          <w:rPr>
            <w:noProof/>
            <w:webHidden/>
          </w:rPr>
        </w:r>
        <w:r w:rsidR="001D7943">
          <w:rPr>
            <w:noProof/>
            <w:webHidden/>
          </w:rPr>
          <w:fldChar w:fldCharType="separate"/>
        </w:r>
        <w:r w:rsidR="001D7943">
          <w:rPr>
            <w:noProof/>
            <w:webHidden/>
          </w:rPr>
          <w:t>10</w:t>
        </w:r>
        <w:r w:rsidR="001D7943">
          <w:rPr>
            <w:noProof/>
            <w:webHidden/>
          </w:rPr>
          <w:fldChar w:fldCharType="end"/>
        </w:r>
      </w:hyperlink>
    </w:p>
    <w:p w14:paraId="7B08AEBA" w14:textId="77777777" w:rsidR="001D7943" w:rsidRDefault="00324C18">
      <w:pPr>
        <w:pStyle w:val="Sommario2"/>
        <w:rPr>
          <w:rFonts w:asciiTheme="minorHAnsi" w:eastAsiaTheme="minorEastAsia" w:hAnsiTheme="minorHAnsi" w:cstheme="minorBidi"/>
          <w:noProof/>
          <w:sz w:val="22"/>
          <w:szCs w:val="22"/>
        </w:rPr>
      </w:pPr>
      <w:hyperlink w:anchor="_Toc45528383" w:history="1">
        <w:r w:rsidR="001D7943" w:rsidRPr="00485212">
          <w:rPr>
            <w:rStyle w:val="Collegamentoipertestuale"/>
            <w:rFonts w:eastAsia="Times"/>
            <w:noProof/>
          </w:rPr>
          <w:t>4.4</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Eventuale superamento del limite alla crescita annuale delle entrate tariffarie</w:t>
        </w:r>
        <w:r w:rsidR="001D7943">
          <w:rPr>
            <w:noProof/>
            <w:webHidden/>
          </w:rPr>
          <w:tab/>
        </w:r>
        <w:r w:rsidR="001D7943">
          <w:rPr>
            <w:noProof/>
            <w:webHidden/>
          </w:rPr>
          <w:fldChar w:fldCharType="begin"/>
        </w:r>
        <w:r w:rsidR="001D7943">
          <w:rPr>
            <w:noProof/>
            <w:webHidden/>
          </w:rPr>
          <w:instrText xml:space="preserve"> PAGEREF _Toc45528383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1723FD20" w14:textId="77777777" w:rsidR="001D7943" w:rsidRDefault="00324C18">
      <w:pPr>
        <w:pStyle w:val="Sommario2"/>
        <w:rPr>
          <w:rFonts w:asciiTheme="minorHAnsi" w:eastAsiaTheme="minorEastAsia" w:hAnsiTheme="minorHAnsi" w:cstheme="minorBidi"/>
          <w:noProof/>
          <w:sz w:val="22"/>
          <w:szCs w:val="22"/>
        </w:rPr>
      </w:pPr>
      <w:hyperlink w:anchor="_Toc45528384" w:history="1">
        <w:r w:rsidR="001D7943" w:rsidRPr="00485212">
          <w:rPr>
            <w:rStyle w:val="Collegamentoipertestuale"/>
            <w:rFonts w:eastAsia="Times"/>
            <w:noProof/>
          </w:rPr>
          <w:t>4.5</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Focus sulla gradualità per le annualità 2018 e 2019</w:t>
        </w:r>
        <w:r w:rsidR="001D7943">
          <w:rPr>
            <w:noProof/>
            <w:webHidden/>
          </w:rPr>
          <w:tab/>
        </w:r>
        <w:r w:rsidR="001D7943">
          <w:rPr>
            <w:noProof/>
            <w:webHidden/>
          </w:rPr>
          <w:fldChar w:fldCharType="begin"/>
        </w:r>
        <w:r w:rsidR="001D7943">
          <w:rPr>
            <w:noProof/>
            <w:webHidden/>
          </w:rPr>
          <w:instrText xml:space="preserve"> PAGEREF _Toc45528384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5AB2694C" w14:textId="77777777" w:rsidR="001D7943" w:rsidRDefault="00324C18">
      <w:pPr>
        <w:pStyle w:val="Sommario3"/>
        <w:rPr>
          <w:rFonts w:asciiTheme="minorHAnsi" w:eastAsiaTheme="minorEastAsia" w:hAnsiTheme="minorHAnsi" w:cstheme="minorBidi"/>
          <w:noProof/>
          <w:sz w:val="22"/>
          <w:szCs w:val="22"/>
        </w:rPr>
      </w:pPr>
      <w:hyperlink w:anchor="_Toc45528385" w:history="1">
        <w:r w:rsidR="001D7943" w:rsidRPr="00485212">
          <w:rPr>
            <w:rStyle w:val="Collegamentoipertestuale"/>
            <w:rFonts w:eastAsia="Times"/>
            <w:noProof/>
          </w:rPr>
          <w:t>4.5.1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Costi efficienti di esercizio per la componente a conguaglio</w:t>
        </w:r>
        <w:r w:rsidR="001D7943">
          <w:rPr>
            <w:noProof/>
            <w:webHidden/>
          </w:rPr>
          <w:tab/>
        </w:r>
        <w:r w:rsidR="001D7943">
          <w:rPr>
            <w:noProof/>
            <w:webHidden/>
          </w:rPr>
          <w:fldChar w:fldCharType="begin"/>
        </w:r>
        <w:r w:rsidR="001D7943">
          <w:rPr>
            <w:noProof/>
            <w:webHidden/>
          </w:rPr>
          <w:instrText xml:space="preserve"> PAGEREF _Toc45528385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097E7D0D" w14:textId="77777777" w:rsidR="001D7943" w:rsidRDefault="00324C18">
      <w:pPr>
        <w:pStyle w:val="Sommario3"/>
        <w:rPr>
          <w:rFonts w:asciiTheme="minorHAnsi" w:eastAsiaTheme="minorEastAsia" w:hAnsiTheme="minorHAnsi" w:cstheme="minorBidi"/>
          <w:noProof/>
          <w:sz w:val="22"/>
          <w:szCs w:val="22"/>
        </w:rPr>
      </w:pPr>
      <w:hyperlink w:anchor="_Toc45528386" w:history="1">
        <w:r w:rsidR="001D7943" w:rsidRPr="00485212">
          <w:rPr>
            <w:rStyle w:val="Collegamentoipertestuale"/>
            <w:rFonts w:eastAsia="Times"/>
            <w:noProof/>
          </w:rPr>
          <w:t>4.5.2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Valorizzazione dei coefficienti di gradualità</w:t>
        </w:r>
        <w:r w:rsidR="001D7943">
          <w:rPr>
            <w:noProof/>
            <w:webHidden/>
          </w:rPr>
          <w:tab/>
        </w:r>
        <w:r w:rsidR="001D7943">
          <w:rPr>
            <w:noProof/>
            <w:webHidden/>
          </w:rPr>
          <w:fldChar w:fldCharType="begin"/>
        </w:r>
        <w:r w:rsidR="001D7943">
          <w:rPr>
            <w:noProof/>
            <w:webHidden/>
          </w:rPr>
          <w:instrText xml:space="preserve"> PAGEREF _Toc45528386 \h </w:instrText>
        </w:r>
        <w:r w:rsidR="001D7943">
          <w:rPr>
            <w:noProof/>
            <w:webHidden/>
          </w:rPr>
        </w:r>
        <w:r w:rsidR="001D7943">
          <w:rPr>
            <w:noProof/>
            <w:webHidden/>
          </w:rPr>
          <w:fldChar w:fldCharType="separate"/>
        </w:r>
        <w:r w:rsidR="001D7943">
          <w:rPr>
            <w:noProof/>
            <w:webHidden/>
          </w:rPr>
          <w:t>11</w:t>
        </w:r>
        <w:r w:rsidR="001D7943">
          <w:rPr>
            <w:noProof/>
            <w:webHidden/>
          </w:rPr>
          <w:fldChar w:fldCharType="end"/>
        </w:r>
      </w:hyperlink>
    </w:p>
    <w:p w14:paraId="5490198A" w14:textId="77777777" w:rsidR="001D7943" w:rsidRDefault="00324C18">
      <w:pPr>
        <w:pStyle w:val="Sommario2"/>
        <w:rPr>
          <w:rFonts w:asciiTheme="minorHAnsi" w:eastAsiaTheme="minorEastAsia" w:hAnsiTheme="minorHAnsi" w:cstheme="minorBidi"/>
          <w:noProof/>
          <w:sz w:val="22"/>
          <w:szCs w:val="22"/>
        </w:rPr>
      </w:pPr>
      <w:hyperlink w:anchor="_Toc45528387" w:history="1">
        <w:r w:rsidR="001D7943" w:rsidRPr="00485212">
          <w:rPr>
            <w:rStyle w:val="Collegamentoipertestuale"/>
            <w:rFonts w:eastAsia="Times"/>
            <w:i/>
            <w:noProof/>
          </w:rPr>
          <w:t>4.6</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 xml:space="preserve">Focus sulla valorizzazione dei fattori di </w:t>
        </w:r>
        <w:r w:rsidR="001D7943" w:rsidRPr="00485212">
          <w:rPr>
            <w:rStyle w:val="Collegamentoipertestuale"/>
            <w:rFonts w:eastAsia="Times"/>
            <w:i/>
            <w:noProof/>
          </w:rPr>
          <w:t>sharing</w:t>
        </w:r>
        <w:r w:rsidR="001D7943">
          <w:rPr>
            <w:noProof/>
            <w:webHidden/>
          </w:rPr>
          <w:tab/>
        </w:r>
        <w:r w:rsidR="001D7943">
          <w:rPr>
            <w:noProof/>
            <w:webHidden/>
          </w:rPr>
          <w:fldChar w:fldCharType="begin"/>
        </w:r>
        <w:r w:rsidR="001D7943">
          <w:rPr>
            <w:noProof/>
            <w:webHidden/>
          </w:rPr>
          <w:instrText xml:space="preserve"> PAGEREF _Toc45528387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3730975A" w14:textId="77777777" w:rsidR="001D7943" w:rsidRDefault="00324C18">
      <w:pPr>
        <w:pStyle w:val="Sommario2"/>
        <w:rPr>
          <w:rFonts w:asciiTheme="minorHAnsi" w:eastAsiaTheme="minorEastAsia" w:hAnsiTheme="minorHAnsi" w:cstheme="minorBidi"/>
          <w:noProof/>
          <w:sz w:val="22"/>
          <w:szCs w:val="22"/>
        </w:rPr>
      </w:pPr>
      <w:hyperlink w:anchor="_Toc45528388" w:history="1">
        <w:r w:rsidR="001D7943" w:rsidRPr="00485212">
          <w:rPr>
            <w:rStyle w:val="Collegamentoipertestuale"/>
            <w:rFonts w:eastAsia="Times"/>
            <w:noProof/>
          </w:rPr>
          <w:t>4.7</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Scelta degli ulteriori parametri</w:t>
        </w:r>
        <w:r w:rsidR="001D7943">
          <w:rPr>
            <w:noProof/>
            <w:webHidden/>
          </w:rPr>
          <w:tab/>
        </w:r>
        <w:r w:rsidR="001D7943">
          <w:rPr>
            <w:noProof/>
            <w:webHidden/>
          </w:rPr>
          <w:fldChar w:fldCharType="begin"/>
        </w:r>
        <w:r w:rsidR="001D7943">
          <w:rPr>
            <w:noProof/>
            <w:webHidden/>
          </w:rPr>
          <w:instrText xml:space="preserve"> PAGEREF _Toc45528388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5E2B37D4" w14:textId="77777777" w:rsidR="001D7943" w:rsidRDefault="00324C18">
      <w:pPr>
        <w:pStyle w:val="Sommario3"/>
        <w:rPr>
          <w:rFonts w:asciiTheme="minorHAnsi" w:eastAsiaTheme="minorEastAsia" w:hAnsiTheme="minorHAnsi" w:cstheme="minorBidi"/>
          <w:noProof/>
          <w:sz w:val="22"/>
          <w:szCs w:val="22"/>
        </w:rPr>
      </w:pPr>
      <w:hyperlink w:anchor="_Toc45528389" w:history="1">
        <w:r w:rsidR="001D7943" w:rsidRPr="00485212">
          <w:rPr>
            <w:rStyle w:val="Collegamentoipertestuale"/>
            <w:rFonts w:eastAsia="Times"/>
            <w:noProof/>
          </w:rPr>
          <w:t>4.7.1</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Rateizzazione del componente a conguaglio</w:t>
        </w:r>
        <w:r w:rsidR="001D7943">
          <w:rPr>
            <w:noProof/>
            <w:webHidden/>
          </w:rPr>
          <w:tab/>
        </w:r>
        <w:r w:rsidR="001D7943">
          <w:rPr>
            <w:noProof/>
            <w:webHidden/>
          </w:rPr>
          <w:fldChar w:fldCharType="begin"/>
        </w:r>
        <w:r w:rsidR="001D7943">
          <w:rPr>
            <w:noProof/>
            <w:webHidden/>
          </w:rPr>
          <w:instrText xml:space="preserve"> PAGEREF _Toc45528389 \h </w:instrText>
        </w:r>
        <w:r w:rsidR="001D7943">
          <w:rPr>
            <w:noProof/>
            <w:webHidden/>
          </w:rPr>
        </w:r>
        <w:r w:rsidR="001D7943">
          <w:rPr>
            <w:noProof/>
            <w:webHidden/>
          </w:rPr>
          <w:fldChar w:fldCharType="separate"/>
        </w:r>
        <w:r w:rsidR="001D7943">
          <w:rPr>
            <w:noProof/>
            <w:webHidden/>
          </w:rPr>
          <w:t>13</w:t>
        </w:r>
        <w:r w:rsidR="001D7943">
          <w:rPr>
            <w:noProof/>
            <w:webHidden/>
          </w:rPr>
          <w:fldChar w:fldCharType="end"/>
        </w:r>
      </w:hyperlink>
    </w:p>
    <w:p w14:paraId="3B099B94" w14:textId="77777777" w:rsidR="001D7943" w:rsidRDefault="00324C18">
      <w:pPr>
        <w:pStyle w:val="Sommario3"/>
        <w:rPr>
          <w:rFonts w:asciiTheme="minorHAnsi" w:eastAsiaTheme="minorEastAsia" w:hAnsiTheme="minorHAnsi" w:cstheme="minorBidi"/>
          <w:noProof/>
          <w:sz w:val="22"/>
          <w:szCs w:val="22"/>
        </w:rPr>
      </w:pPr>
      <w:hyperlink w:anchor="_Toc45528390" w:history="1">
        <w:r w:rsidR="001D7943" w:rsidRPr="00485212">
          <w:rPr>
            <w:rStyle w:val="Collegamentoipertestuale"/>
            <w:rFonts w:eastAsia="Times"/>
            <w:noProof/>
          </w:rPr>
          <w:t>4.7.2</w:t>
        </w:r>
        <w:r w:rsidR="001D7943">
          <w:rPr>
            <w:rFonts w:asciiTheme="minorHAnsi" w:eastAsiaTheme="minorEastAsia" w:hAnsiTheme="minorHAnsi" w:cstheme="minorBidi"/>
            <w:noProof/>
            <w:sz w:val="22"/>
            <w:szCs w:val="22"/>
          </w:rPr>
          <w:tab/>
        </w:r>
        <w:r w:rsidR="001D7943" w:rsidRPr="00485212">
          <w:rPr>
            <w:rStyle w:val="Collegamentoipertestuale"/>
            <w:rFonts w:eastAsia="Times"/>
            <w:noProof/>
          </w:rPr>
          <w:t xml:space="preserve">Metodo di valorizzazione dei contratti di </w:t>
        </w:r>
        <w:r w:rsidR="001D7943" w:rsidRPr="00485212">
          <w:rPr>
            <w:rStyle w:val="Collegamentoipertestuale"/>
            <w:rFonts w:eastAsia="Times"/>
            <w:i/>
            <w:noProof/>
          </w:rPr>
          <w:t>leasing</w:t>
        </w:r>
        <w:r w:rsidR="001D7943">
          <w:rPr>
            <w:noProof/>
            <w:webHidden/>
          </w:rPr>
          <w:tab/>
        </w:r>
        <w:r w:rsidR="001D7943">
          <w:rPr>
            <w:noProof/>
            <w:webHidden/>
          </w:rPr>
          <w:fldChar w:fldCharType="begin"/>
        </w:r>
        <w:r w:rsidR="001D7943">
          <w:rPr>
            <w:noProof/>
            <w:webHidden/>
          </w:rPr>
          <w:instrText xml:space="preserve"> PAGEREF _Toc45528390 \h </w:instrText>
        </w:r>
        <w:r w:rsidR="001D7943">
          <w:rPr>
            <w:noProof/>
            <w:webHidden/>
          </w:rPr>
        </w:r>
        <w:r w:rsidR="001D7943">
          <w:rPr>
            <w:noProof/>
            <w:webHidden/>
          </w:rPr>
          <w:fldChar w:fldCharType="separate"/>
        </w:r>
        <w:r w:rsidR="001D7943">
          <w:rPr>
            <w:noProof/>
            <w:webHidden/>
          </w:rPr>
          <w:t>14</w:t>
        </w:r>
        <w:r w:rsidR="001D7943">
          <w:rPr>
            <w:noProof/>
            <w:webHidden/>
          </w:rPr>
          <w:fldChar w:fldCharType="end"/>
        </w:r>
      </w:hyperlink>
    </w:p>
    <w:p w14:paraId="7AA25541" w14:textId="77777777" w:rsidR="001D7943" w:rsidRDefault="00324C18">
      <w:pPr>
        <w:pStyle w:val="Sommario1"/>
        <w:rPr>
          <w:rFonts w:asciiTheme="minorHAnsi" w:eastAsiaTheme="minorEastAsia" w:hAnsiTheme="minorHAnsi" w:cstheme="minorBidi"/>
          <w:b w:val="0"/>
          <w:sz w:val="22"/>
          <w:szCs w:val="22"/>
        </w:rPr>
      </w:pPr>
      <w:hyperlink w:anchor="_Toc45528391" w:history="1">
        <w:r w:rsidR="001D7943" w:rsidRPr="00485212">
          <w:rPr>
            <w:rStyle w:val="Collegamentoipertestuale"/>
            <w:lang w:eastAsia="en-GB"/>
          </w:rPr>
          <w:t>5</w:t>
        </w:r>
        <w:r w:rsidR="001D7943">
          <w:rPr>
            <w:rFonts w:asciiTheme="minorHAnsi" w:eastAsiaTheme="minorEastAsia" w:hAnsiTheme="minorHAnsi" w:cstheme="minorBidi"/>
            <w:b w:val="0"/>
            <w:sz w:val="22"/>
            <w:szCs w:val="22"/>
          </w:rPr>
          <w:tab/>
        </w:r>
        <w:r w:rsidR="001D7943" w:rsidRPr="00485212">
          <w:rPr>
            <w:rStyle w:val="Collegamentoipertestuale"/>
            <w:lang w:eastAsia="en-GB"/>
          </w:rPr>
          <w:t>Allegati</w:t>
        </w:r>
        <w:r w:rsidR="001D7943">
          <w:rPr>
            <w:webHidden/>
          </w:rPr>
          <w:tab/>
        </w:r>
        <w:r w:rsidR="001D7943">
          <w:rPr>
            <w:webHidden/>
          </w:rPr>
          <w:fldChar w:fldCharType="begin"/>
        </w:r>
        <w:r w:rsidR="001D7943">
          <w:rPr>
            <w:webHidden/>
          </w:rPr>
          <w:instrText xml:space="preserve"> PAGEREF _Toc45528391 \h </w:instrText>
        </w:r>
        <w:r w:rsidR="001D7943">
          <w:rPr>
            <w:webHidden/>
          </w:rPr>
        </w:r>
        <w:r w:rsidR="001D7943">
          <w:rPr>
            <w:webHidden/>
          </w:rPr>
          <w:fldChar w:fldCharType="separate"/>
        </w:r>
        <w:r w:rsidR="001D7943">
          <w:rPr>
            <w:webHidden/>
          </w:rPr>
          <w:t>15</w:t>
        </w:r>
        <w:r w:rsidR="001D7943">
          <w:rPr>
            <w:webHidden/>
          </w:rPr>
          <w:fldChar w:fldCharType="end"/>
        </w:r>
      </w:hyperlink>
    </w:p>
    <w:p w14:paraId="40AD8C4F" w14:textId="77777777" w:rsidR="006D7FFD" w:rsidRDefault="005316ED" w:rsidP="00EC28E1">
      <w:pPr>
        <w:pStyle w:val="Titolo1"/>
      </w:pPr>
      <w:r w:rsidRPr="0034669D">
        <w:rPr>
          <w:b w:val="0"/>
          <w:bCs w:val="0"/>
        </w:rPr>
        <w:lastRenderedPageBreak/>
        <w:fldChar w:fldCharType="end"/>
      </w:r>
      <w:bookmarkStart w:id="0" w:name="_Toc44317341"/>
      <w:bookmarkStart w:id="1" w:name="_Toc45528363"/>
      <w:bookmarkEnd w:id="0"/>
      <w:r w:rsidR="006D7FFD" w:rsidRPr="006D7FFD">
        <w:rPr>
          <w:bCs w:val="0"/>
        </w:rPr>
        <w:t>Premessa</w:t>
      </w:r>
      <w:bookmarkEnd w:id="1"/>
    </w:p>
    <w:p w14:paraId="5CEC898A" w14:textId="77777777" w:rsidR="00AE47BD" w:rsidRPr="006D7FFD" w:rsidRDefault="00B400BB" w:rsidP="00A01BF4">
      <w:r w:rsidRPr="006D7FFD">
        <w:t>A</w:t>
      </w:r>
      <w:r w:rsidR="004258AF" w:rsidRPr="006D7FFD">
        <w:t xml:space="preserve">l fine di </w:t>
      </w:r>
      <w:r w:rsidR="00843753" w:rsidRPr="006D7FFD">
        <w:t>adempiere a quanto previsto dall’art. 18.3 della deliberazione</w:t>
      </w:r>
      <w:r w:rsidR="004258AF" w:rsidRPr="006D7FFD">
        <w:t xml:space="preserve"> </w:t>
      </w:r>
      <w:r w:rsidR="00843753" w:rsidRPr="006D7FFD">
        <w:t>443/2019/R/rif</w:t>
      </w:r>
      <w:r w:rsidR="004258AF" w:rsidRPr="006D7FFD">
        <w:t xml:space="preserve">, </w:t>
      </w:r>
      <w:r w:rsidR="00F50F6A" w:rsidRPr="006D7FFD">
        <w:t xml:space="preserve">si </w:t>
      </w:r>
      <w:r w:rsidR="00E270ED" w:rsidRPr="006D7FFD">
        <w:t>redige la presente relazione che illustra sia i criteri di corrispondenza tra i valori riportati nella modulistica e i valori desumibili dalla documentazione contabile, sia le evidenze contabili sottostanti, secondo lo schema di relazione tipo fornito all’Appendice 2 della deliberazione 443/2019/R/rif.</w:t>
      </w:r>
    </w:p>
    <w:p w14:paraId="796560F9" w14:textId="77777777" w:rsidR="00E270ED" w:rsidRDefault="00E270ED" w:rsidP="00EC28E1">
      <w:pPr>
        <w:rPr>
          <w:rFonts w:asciiTheme="minorHAnsi" w:hAnsiTheme="minorHAnsi"/>
        </w:rPr>
      </w:pPr>
      <w:r>
        <w:rPr>
          <w:rFonts w:asciiTheme="minorHAnsi" w:hAnsiTheme="minorHAnsi"/>
        </w:rPr>
        <w:t>Vengono, altresì, riportate le valutazioni dell’Ente scrivente in merito a quanto di sua competenza.</w:t>
      </w:r>
    </w:p>
    <w:p w14:paraId="41463B99" w14:textId="77777777" w:rsidR="00E270ED" w:rsidRPr="00F50F6A" w:rsidRDefault="00E270ED" w:rsidP="00EC28E1">
      <w:pPr>
        <w:rPr>
          <w:rFonts w:asciiTheme="minorHAnsi" w:hAnsiTheme="minorHAnsi"/>
        </w:rPr>
      </w:pPr>
      <w:r>
        <w:rPr>
          <w:rFonts w:asciiTheme="minorHAnsi" w:hAnsiTheme="minorHAnsi"/>
        </w:rPr>
        <w:t>Si fornisce allegato alla presente:</w:t>
      </w:r>
    </w:p>
    <w:p w14:paraId="3E694243" w14:textId="77777777" w:rsidR="00AE47BD" w:rsidRPr="00F50F6A" w:rsidRDefault="007D1568" w:rsidP="00B049D5">
      <w:pPr>
        <w:numPr>
          <w:ilvl w:val="0"/>
          <w:numId w:val="5"/>
        </w:numPr>
        <w:rPr>
          <w:rFonts w:asciiTheme="minorHAnsi" w:hAnsiTheme="minorHAnsi"/>
        </w:rPr>
      </w:pPr>
      <w:r w:rsidRPr="00F50F6A">
        <w:rPr>
          <w:rFonts w:asciiTheme="minorHAnsi" w:hAnsiTheme="minorHAnsi"/>
        </w:rPr>
        <w:t>i</w:t>
      </w:r>
      <w:r w:rsidR="00AE47BD" w:rsidRPr="00F50F6A">
        <w:rPr>
          <w:rFonts w:asciiTheme="minorHAnsi" w:hAnsiTheme="minorHAnsi"/>
        </w:rPr>
        <w:t xml:space="preserve">l </w:t>
      </w:r>
      <w:r w:rsidR="00D91639" w:rsidRPr="00F50F6A">
        <w:rPr>
          <w:rFonts w:asciiTheme="minorHAnsi" w:hAnsiTheme="minorHAnsi"/>
        </w:rPr>
        <w:t>PEF</w:t>
      </w:r>
      <w:r w:rsidR="00AE47BD" w:rsidRPr="00F50F6A">
        <w:rPr>
          <w:rFonts w:asciiTheme="minorHAnsi" w:hAnsiTheme="minorHAnsi"/>
        </w:rPr>
        <w:t xml:space="preserve"> relativo alla gestione secondo </w:t>
      </w:r>
      <w:r w:rsidR="003540AD" w:rsidRPr="00F50F6A">
        <w:rPr>
          <w:rFonts w:asciiTheme="minorHAnsi" w:hAnsiTheme="minorHAnsi"/>
        </w:rPr>
        <w:t>lo schema tipo predisposto</w:t>
      </w:r>
      <w:r w:rsidR="00AE47BD" w:rsidRPr="00F50F6A">
        <w:rPr>
          <w:rFonts w:asciiTheme="minorHAnsi" w:hAnsiTheme="minorHAnsi"/>
        </w:rPr>
        <w:t xml:space="preserve"> dall’Autorità</w:t>
      </w:r>
      <w:r w:rsidR="00B50532" w:rsidRPr="00F50F6A">
        <w:rPr>
          <w:rFonts w:asciiTheme="minorHAnsi" w:hAnsiTheme="minorHAnsi"/>
        </w:rPr>
        <w:t xml:space="preserve"> </w:t>
      </w:r>
      <w:r w:rsidR="003540AD" w:rsidRPr="00F50F6A">
        <w:rPr>
          <w:rFonts w:asciiTheme="minorHAnsi" w:hAnsiTheme="minorHAnsi"/>
        </w:rPr>
        <w:t>di cui all’Appendice 1 della deliberazione 443</w:t>
      </w:r>
      <w:r w:rsidR="00B50532" w:rsidRPr="00F50F6A">
        <w:rPr>
          <w:rFonts w:asciiTheme="minorHAnsi" w:hAnsiTheme="minorHAnsi"/>
        </w:rPr>
        <w:t>/2019/R/</w:t>
      </w:r>
      <w:r w:rsidR="00B50532" w:rsidRPr="00F50F6A">
        <w:rPr>
          <w:rFonts w:asciiTheme="minorHAnsi" w:hAnsiTheme="minorHAnsi"/>
          <w:smallCaps/>
        </w:rPr>
        <w:t>rif</w:t>
      </w:r>
      <w:r w:rsidR="007904DD">
        <w:rPr>
          <w:rFonts w:asciiTheme="minorHAnsi" w:hAnsiTheme="minorHAnsi"/>
          <w:smallCaps/>
        </w:rPr>
        <w:t>,</w:t>
      </w:r>
      <w:r w:rsidR="007904DD" w:rsidRPr="007904DD">
        <w:rPr>
          <w:rFonts w:asciiTheme="minorHAnsi" w:hAnsiTheme="minorHAnsi"/>
          <w:lang w:eastAsia="en-GB"/>
        </w:rPr>
        <w:t xml:space="preserve"> </w:t>
      </w:r>
      <w:r w:rsidR="007904DD">
        <w:rPr>
          <w:rFonts w:asciiTheme="minorHAnsi" w:hAnsiTheme="minorHAnsi"/>
          <w:lang w:eastAsia="en-GB"/>
        </w:rPr>
        <w:t>come modificato dalla Determina 02/DRIF/2020 Allegato 1</w:t>
      </w:r>
      <w:r w:rsidR="00E87D1F" w:rsidRPr="00F50F6A">
        <w:rPr>
          <w:rFonts w:asciiTheme="minorHAnsi" w:hAnsiTheme="minorHAnsi"/>
        </w:rPr>
        <w:t>;</w:t>
      </w:r>
    </w:p>
    <w:p w14:paraId="671FCA78" w14:textId="77777777" w:rsidR="00E87D1F" w:rsidRDefault="00E87D1F" w:rsidP="00B049D5">
      <w:pPr>
        <w:pStyle w:val="Corpodeltesto2"/>
        <w:widowControl w:val="0"/>
        <w:numPr>
          <w:ilvl w:val="0"/>
          <w:numId w:val="5"/>
        </w:numPr>
        <w:ind w:right="-81"/>
        <w:rPr>
          <w:rFonts w:asciiTheme="minorHAnsi" w:hAnsiTheme="minorHAnsi"/>
          <w:color w:val="auto"/>
        </w:rPr>
      </w:pPr>
      <w:r w:rsidRPr="00F50F6A">
        <w:rPr>
          <w:rFonts w:asciiTheme="minorHAnsi" w:hAnsiTheme="minorHAnsi"/>
          <w:color w:val="auto"/>
        </w:rPr>
        <w:t xml:space="preserve">una dichiarazione, predisposta utilizzando </w:t>
      </w:r>
      <w:r w:rsidR="003540AD" w:rsidRPr="00F50F6A">
        <w:rPr>
          <w:rFonts w:asciiTheme="minorHAnsi" w:hAnsiTheme="minorHAnsi"/>
          <w:color w:val="auto"/>
        </w:rPr>
        <w:t>lo schema tipo</w:t>
      </w:r>
      <w:r w:rsidRPr="00F50F6A">
        <w:rPr>
          <w:rFonts w:asciiTheme="minorHAnsi" w:hAnsiTheme="minorHAnsi"/>
          <w:color w:val="auto"/>
        </w:rPr>
        <w:t xml:space="preserve"> </w:t>
      </w:r>
      <w:r w:rsidR="003540AD" w:rsidRPr="00F50F6A">
        <w:rPr>
          <w:rFonts w:asciiTheme="minorHAnsi" w:hAnsiTheme="minorHAnsi"/>
          <w:color w:val="auto"/>
        </w:rPr>
        <w:t>di cui all’Appendice 3 della</w:t>
      </w:r>
      <w:r w:rsidR="00C87E4E" w:rsidRPr="00F50F6A">
        <w:rPr>
          <w:rFonts w:asciiTheme="minorHAnsi" w:hAnsiTheme="minorHAnsi"/>
          <w:color w:val="auto"/>
        </w:rPr>
        <w:t xml:space="preserve"> deliberazione </w:t>
      </w:r>
      <w:r w:rsidR="003540AD" w:rsidRPr="00F50F6A">
        <w:rPr>
          <w:rFonts w:asciiTheme="minorHAnsi" w:hAnsiTheme="minorHAnsi"/>
          <w:color w:val="auto"/>
        </w:rPr>
        <w:t>443</w:t>
      </w:r>
      <w:r w:rsidR="00C87E4E" w:rsidRPr="00F50F6A">
        <w:rPr>
          <w:rFonts w:asciiTheme="minorHAnsi" w:hAnsiTheme="minorHAnsi"/>
          <w:color w:val="auto"/>
        </w:rPr>
        <w:t>/2019/R/</w:t>
      </w:r>
      <w:r w:rsidR="00C87E4E" w:rsidRPr="00F50F6A">
        <w:rPr>
          <w:rFonts w:asciiTheme="minorHAnsi" w:hAnsiTheme="minorHAnsi"/>
          <w:smallCaps/>
          <w:color w:val="auto"/>
        </w:rPr>
        <w:t>rif</w:t>
      </w:r>
      <w:r w:rsidRPr="00F50F6A">
        <w:rPr>
          <w:rFonts w:asciiTheme="minorHAnsi" w:hAnsiTheme="minorHAnsi"/>
          <w:color w:val="auto"/>
        </w:rPr>
        <w:t xml:space="preserve">, ai sensi del d.P.R. 445/00, sottoscritta dal legale rappresentante, attestante la veridicità dei dati trasmessi e la corrispondenza tra i valori riportati nella modulistica </w:t>
      </w:r>
      <w:r w:rsidR="00D91639" w:rsidRPr="00F50F6A">
        <w:rPr>
          <w:rFonts w:asciiTheme="minorHAnsi" w:hAnsiTheme="minorHAnsi"/>
          <w:color w:val="auto"/>
        </w:rPr>
        <w:t xml:space="preserve">e </w:t>
      </w:r>
      <w:r w:rsidRPr="00F50F6A">
        <w:rPr>
          <w:rFonts w:asciiTheme="minorHAnsi" w:hAnsiTheme="minorHAnsi"/>
          <w:color w:val="auto"/>
        </w:rPr>
        <w:t>i valori desumibili dalla documentazione contabile di riferimento tenuta ai sensi di legge;</w:t>
      </w:r>
    </w:p>
    <w:p w14:paraId="49A75E65" w14:textId="77777777" w:rsidR="00E270ED" w:rsidRPr="00E270ED" w:rsidRDefault="00E270ED" w:rsidP="00B049D5">
      <w:pPr>
        <w:pStyle w:val="Corpodeltesto2"/>
        <w:widowControl w:val="0"/>
        <w:numPr>
          <w:ilvl w:val="0"/>
          <w:numId w:val="5"/>
        </w:numPr>
        <w:ind w:right="-81"/>
        <w:rPr>
          <w:rFonts w:asciiTheme="minorHAnsi" w:hAnsiTheme="minorHAnsi"/>
          <w:color w:val="auto"/>
        </w:rPr>
      </w:pPr>
      <w:r w:rsidRPr="00E270ED">
        <w:rPr>
          <w:rFonts w:asciiTheme="minorHAnsi" w:hAnsiTheme="minorHAnsi"/>
          <w:color w:val="auto"/>
        </w:rPr>
        <w:t>la documentazione contabile sottostante alle attestazioni prodotte</w:t>
      </w:r>
      <w:r>
        <w:rPr>
          <w:rFonts w:asciiTheme="minorHAnsi" w:hAnsiTheme="minorHAnsi"/>
          <w:color w:val="auto"/>
        </w:rPr>
        <w:t>.</w:t>
      </w:r>
    </w:p>
    <w:p w14:paraId="34DD2BBF" w14:textId="77777777" w:rsidR="002D455F" w:rsidRPr="0034669D" w:rsidRDefault="002D455F" w:rsidP="00896FD6">
      <w:pPr>
        <w:rPr>
          <w:rFonts w:asciiTheme="minorHAnsi" w:hAnsiTheme="minorHAnsi"/>
        </w:rPr>
      </w:pPr>
    </w:p>
    <w:p w14:paraId="23E41D2C" w14:textId="77777777" w:rsidR="00AE47BD" w:rsidRPr="0034669D" w:rsidRDefault="00AE47BD" w:rsidP="003502AE">
      <w:pPr>
        <w:pStyle w:val="Titolo1"/>
      </w:pPr>
      <w:bookmarkStart w:id="2" w:name="_Toc45528364"/>
      <w:r w:rsidRPr="0034669D">
        <w:t>Relazione di accompagnamento al PEF</w:t>
      </w:r>
      <w:bookmarkEnd w:id="2"/>
      <w:r w:rsidRPr="0034669D">
        <w:t xml:space="preserve"> </w:t>
      </w:r>
    </w:p>
    <w:p w14:paraId="013FF236" w14:textId="77777777" w:rsidR="00B400BB" w:rsidRPr="0034669D" w:rsidRDefault="00B400BB" w:rsidP="00896FD6">
      <w:pPr>
        <w:rPr>
          <w:rFonts w:asciiTheme="minorHAnsi" w:hAnsiTheme="minorHAnsi"/>
        </w:rPr>
      </w:pPr>
    </w:p>
    <w:p w14:paraId="0D3BB133" w14:textId="77777777" w:rsidR="00423EAF" w:rsidRPr="00F113E1" w:rsidRDefault="00896FD6" w:rsidP="00423EAF">
      <w:pPr>
        <w:pStyle w:val="Titolo2"/>
      </w:pPr>
      <w:bookmarkStart w:id="3" w:name="_Toc45528365"/>
      <w:r w:rsidRPr="0034669D">
        <w:t>Perimetro della gestione</w:t>
      </w:r>
      <w:r w:rsidR="00664696" w:rsidRPr="0034669D">
        <w:t xml:space="preserve">/affidamento </w:t>
      </w:r>
      <w:r w:rsidR="00517144" w:rsidRPr="0034669D">
        <w:t>e servizi forniti</w:t>
      </w:r>
      <w:bookmarkEnd w:id="3"/>
    </w:p>
    <w:p w14:paraId="4609B21E" w14:textId="77777777" w:rsidR="00423EAF" w:rsidRPr="00DD205A" w:rsidRDefault="00423EAF" w:rsidP="000D19BD">
      <w:pPr>
        <w:rPr>
          <w:rFonts w:asciiTheme="minorHAnsi" w:hAnsiTheme="minorHAnsi"/>
        </w:rPr>
      </w:pPr>
      <w:r w:rsidRPr="00DD205A">
        <w:rPr>
          <w:rFonts w:asciiTheme="minorHAnsi" w:hAnsiTheme="minorHAnsi"/>
        </w:rPr>
        <w:t>Il Consorzio di bacino denominato “Consorzio Ecologico Cuneese” costituito ai sensi dell’art. 20 della L.R. n° 24/2002</w:t>
      </w:r>
      <w:r w:rsidRPr="00DD205A">
        <w:t xml:space="preserve"> </w:t>
      </w:r>
      <w:r w:rsidRPr="00DD205A">
        <w:rPr>
          <w:rFonts w:asciiTheme="minorHAnsi" w:hAnsiTheme="minorHAnsi"/>
        </w:rPr>
        <w:t>svolge tutte le funzioni di governo di bacino relative al servizio dei rifiuti urbani previste</w:t>
      </w:r>
      <w:r w:rsidR="00993763">
        <w:rPr>
          <w:rFonts w:asciiTheme="minorHAnsi" w:hAnsiTheme="minorHAnsi"/>
        </w:rPr>
        <w:t xml:space="preserve"> </w:t>
      </w:r>
      <w:r w:rsidRPr="00DD205A">
        <w:rPr>
          <w:rFonts w:asciiTheme="minorHAnsi" w:hAnsiTheme="minorHAnsi"/>
        </w:rPr>
        <w:t>dalle leggi nazionali e regionali, in conformità alla disciplina di settore, al piano regionale e al programma provinciale</w:t>
      </w:r>
      <w:r w:rsidR="00993763">
        <w:rPr>
          <w:rFonts w:asciiTheme="minorHAnsi" w:hAnsiTheme="minorHAnsi"/>
        </w:rPr>
        <w:t xml:space="preserve"> </w:t>
      </w:r>
      <w:r w:rsidRPr="00DD205A">
        <w:rPr>
          <w:rFonts w:asciiTheme="minorHAnsi" w:hAnsiTheme="minorHAnsi"/>
        </w:rPr>
        <w:t>di gestione dei rifiuti in particolare esercita le seguenti funzioni:</w:t>
      </w:r>
    </w:p>
    <w:p w14:paraId="7D02FDE7"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persegue, nell’espletamento delle proprie funzioni, finalità volte alla tutela della salute dei cittadini, alla difesa dell’ambiente e alla salvaguardia del territorio, nel rispetto delle vigenti normative in materia, anche quale ente di contitolarità tra i Comuni consorziati della proprietà degli impianti, delle reti e delle altre dotazioni necessari all’esercizio dei servizi pubblici relativi ai rifiuti urbani.</w:t>
      </w:r>
    </w:p>
    <w:p w14:paraId="76D376B5"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Ente di funzioni comunali, assicura obbligatoriamente, a favore dei Comuni consorziati, che vengano espletati i servizi di spazzamento delle strade, dei conferimenti separati, di raccolta differenziata e di raccolta indifferenziata dei rifiuti, che vengano realizzate le strutture funzionali alla raccolta differenziata dei rifiuti urbani, che si provveda al conferimento presso gli impianti tecnologici e le discariche, nonché la rimozione dei rifiuti di cui all’articolo 14 d. lg. 5 febbraio 1997, n. 22, ed all’articolo 8 L. R. Piemonte 24 ottobre 2002, n. 24; esercita le proprie funzioni effettuando la scelta dei soggetti gestori ed esercitando i poteri di vigilanza nei loro confronti, adottando le conseguenti deliberazioni.”</w:t>
      </w:r>
    </w:p>
    <w:p w14:paraId="297DFE42"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esercita, in nome e per conto degli enti consorziati, i poteri e le facoltà del proprietario sulle strutture fisse al servizio della raccolta dei rifiuti urbani, funzionali all’esercizio dei servizi pubblici di competenza di bacino</w:t>
      </w:r>
      <w:r w:rsidR="00993763">
        <w:rPr>
          <w:rFonts w:asciiTheme="minorHAnsi" w:hAnsiTheme="minorHAnsi"/>
        </w:rPr>
        <w:t>.</w:t>
      </w:r>
    </w:p>
    <w:p w14:paraId="618FF13B" w14:textId="77777777" w:rsidR="00423EAF" w:rsidRPr="00DD205A" w:rsidRDefault="00423EAF" w:rsidP="00B6594A">
      <w:pPr>
        <w:rPr>
          <w:rFonts w:asciiTheme="minorHAnsi" w:hAnsiTheme="minorHAnsi"/>
        </w:rPr>
      </w:pPr>
    </w:p>
    <w:p w14:paraId="6A265AAB" w14:textId="77777777" w:rsidR="00423EAF" w:rsidRPr="00DD205A" w:rsidRDefault="00B6594A" w:rsidP="00B6594A">
      <w:pPr>
        <w:rPr>
          <w:rFonts w:asciiTheme="minorHAnsi" w:hAnsiTheme="minorHAnsi"/>
        </w:rPr>
      </w:pPr>
      <w:r w:rsidRPr="00DD205A">
        <w:rPr>
          <w:rFonts w:asciiTheme="minorHAnsi" w:hAnsiTheme="minorHAnsi"/>
        </w:rPr>
        <w:t xml:space="preserve">Il CEC </w:t>
      </w:r>
      <w:r w:rsidR="00FA31A2" w:rsidRPr="00DD205A">
        <w:rPr>
          <w:rFonts w:asciiTheme="minorHAnsi" w:hAnsiTheme="minorHAnsi"/>
        </w:rPr>
        <w:t xml:space="preserve">affida mediante gara d’appalto </w:t>
      </w:r>
      <w:r w:rsidRPr="00DD205A">
        <w:rPr>
          <w:rFonts w:asciiTheme="minorHAnsi" w:hAnsiTheme="minorHAnsi"/>
        </w:rPr>
        <w:t xml:space="preserve">la gestione dei servizi di raccolta e trasporto dei rifiuti solidi urbani, indifferenziati, differenziati ed assimilati, i servizi di spazzamento manuale e meccanizzato, nel territorio dei 54 Comuni del Bacino 10, nell’Area Geografica Cuneese, con </w:t>
      </w:r>
      <w:r w:rsidR="007B66E6" w:rsidRPr="00DD205A">
        <w:rPr>
          <w:rFonts w:asciiTheme="minorHAnsi" w:hAnsiTheme="minorHAnsi"/>
        </w:rPr>
        <w:t>164.199</w:t>
      </w:r>
      <w:r w:rsidRPr="00DD205A">
        <w:rPr>
          <w:rFonts w:asciiTheme="minorHAnsi" w:hAnsiTheme="minorHAnsi"/>
        </w:rPr>
        <w:t xml:space="preserve"> abitanti residenti</w:t>
      </w:r>
      <w:r w:rsidR="004E3C73" w:rsidRPr="00DD205A">
        <w:rPr>
          <w:rFonts w:asciiTheme="minorHAnsi" w:hAnsiTheme="minorHAnsi"/>
        </w:rPr>
        <w:t>.</w:t>
      </w:r>
    </w:p>
    <w:p w14:paraId="4373160D" w14:textId="77777777" w:rsidR="008701AB" w:rsidRPr="00605524" w:rsidRDefault="00B6594A" w:rsidP="008701AB">
      <w:pPr>
        <w:rPr>
          <w:szCs w:val="20"/>
        </w:rPr>
      </w:pPr>
      <w:r w:rsidRPr="00DD205A">
        <w:rPr>
          <w:rFonts w:asciiTheme="minorHAnsi" w:hAnsiTheme="minorHAnsi"/>
        </w:rPr>
        <w:t>Il CEC si occupa, in appalto, della gestione di 14 centri di raccolta distribuiti nell’ambito del territorio del Bacino 10, in conformità D.M. 08/04/2008, così come modificato dal D.M. 13/05/2009.</w:t>
      </w:r>
      <w:r w:rsidR="00993763">
        <w:rPr>
          <w:rFonts w:asciiTheme="minorHAnsi" w:hAnsiTheme="minorHAnsi"/>
        </w:rPr>
        <w:t xml:space="preserve"> </w:t>
      </w:r>
      <w:r w:rsidRPr="00DD205A">
        <w:rPr>
          <w:rFonts w:asciiTheme="minorHAnsi" w:hAnsiTheme="minorHAnsi"/>
        </w:rPr>
        <w:t>I centri di raccolta sono costituiti da aree attrezzate, a disposizione dei cittadini residenti nei comuni di riferimento e convenzionati, da utilizzare per il conferimento di alcune tipologie di rifiuti da avviare al recupero.</w:t>
      </w:r>
      <w:r w:rsidR="006664C2">
        <w:rPr>
          <w:rFonts w:asciiTheme="minorHAnsi" w:hAnsiTheme="minorHAnsi"/>
        </w:rPr>
        <w:t xml:space="preserve"> </w:t>
      </w:r>
      <w:r w:rsidR="008701AB" w:rsidRPr="00605524">
        <w:t>Alcuni centri di raccolta, essendo sovracomunali, possono appartenere a Comuni situati in lotti di affidamento differenti nei quali operano gestori differenti.  A fronte di tale peculiarità, i relativi costi sono stati dichiarati nei PEF dei Gestori seguendo il principio del Comune sede del Centro; a sua volta, il CEC ha provveduto alla corretta ripartizione economica sui relativi Comuni in funzione delle competenze regolate dalle apposite convenzioni stipulate tra essi.</w:t>
      </w:r>
    </w:p>
    <w:p w14:paraId="004DE466" w14:textId="054781E4" w:rsidR="00463FF5" w:rsidRPr="00DD205A" w:rsidRDefault="006664C2" w:rsidP="00463FF5">
      <w:pPr>
        <w:rPr>
          <w:rFonts w:asciiTheme="minorHAnsi" w:hAnsiTheme="minorHAnsi"/>
        </w:rPr>
      </w:pPr>
      <w:r>
        <w:rPr>
          <w:rFonts w:asciiTheme="minorHAnsi" w:hAnsiTheme="minorHAnsi"/>
        </w:rPr>
        <w:lastRenderedPageBreak/>
        <w:t>Il CEC g</w:t>
      </w:r>
      <w:r w:rsidR="00463FF5" w:rsidRPr="00DD205A">
        <w:rPr>
          <w:rFonts w:asciiTheme="minorHAnsi" w:hAnsiTheme="minorHAnsi"/>
        </w:rPr>
        <w:t>estisce</w:t>
      </w:r>
      <w:r w:rsidR="00BD22CC">
        <w:rPr>
          <w:rFonts w:asciiTheme="minorHAnsi" w:hAnsiTheme="minorHAnsi"/>
        </w:rPr>
        <w:t xml:space="preserve"> i</w:t>
      </w:r>
      <w:r w:rsidR="00463FF5" w:rsidRPr="00DD205A">
        <w:rPr>
          <w:rFonts w:asciiTheme="minorHAnsi" w:hAnsiTheme="minorHAnsi"/>
        </w:rPr>
        <w:t xml:space="preserve"> rapporti con gli utenti (reclami, segnalazioni, prenotazioni servizi e richiesta di informazioni) per il servizio di raccolta e trasporto rifiuti e servizi affini</w:t>
      </w:r>
      <w:r w:rsidR="00993763">
        <w:rPr>
          <w:rFonts w:asciiTheme="minorHAnsi" w:hAnsiTheme="minorHAnsi"/>
        </w:rPr>
        <w:t>.</w:t>
      </w:r>
    </w:p>
    <w:p w14:paraId="473FDFD1" w14:textId="62841D8A" w:rsidR="000D5362" w:rsidRPr="00F113E1" w:rsidRDefault="00E450FF" w:rsidP="00EC28E1">
      <w:pPr>
        <w:rPr>
          <w:rFonts w:asciiTheme="minorHAnsi" w:hAnsiTheme="minorHAnsi"/>
        </w:rPr>
      </w:pPr>
      <w:r w:rsidRPr="00EC28E1">
        <w:rPr>
          <w:rFonts w:asciiTheme="minorHAnsi" w:hAnsiTheme="minorHAnsi"/>
        </w:rPr>
        <w:t>Per quanto</w:t>
      </w:r>
      <w:r w:rsidR="00D9439A" w:rsidRPr="00EC28E1">
        <w:rPr>
          <w:rFonts w:asciiTheme="minorHAnsi" w:hAnsiTheme="minorHAnsi"/>
        </w:rPr>
        <w:t xml:space="preserve"> concerne la descrizione del servizio svolto, dettagliato secondo quanto previsto dallo schema tipo della Relazione di Accompagnamento fornito dall’Appendice 2 della deliberazione 443/2019/R/</w:t>
      </w:r>
      <w:r w:rsidR="00D9439A" w:rsidRPr="00EC28E1">
        <w:rPr>
          <w:rFonts w:asciiTheme="minorHAnsi" w:hAnsiTheme="minorHAnsi"/>
          <w:smallCaps/>
        </w:rPr>
        <w:t xml:space="preserve">rif, </w:t>
      </w:r>
      <w:r w:rsidR="0034669D" w:rsidRPr="00EC28E1">
        <w:rPr>
          <w:rFonts w:asciiTheme="minorHAnsi" w:hAnsiTheme="minorHAnsi"/>
        </w:rPr>
        <w:t>in merito a</w:t>
      </w:r>
      <w:r w:rsidR="00D9439A" w:rsidRPr="00EC28E1">
        <w:rPr>
          <w:rFonts w:asciiTheme="minorHAnsi" w:hAnsiTheme="minorHAnsi"/>
        </w:rPr>
        <w:t>i comuni serviti</w:t>
      </w:r>
      <w:r w:rsidR="0034669D" w:rsidRPr="00EC28E1">
        <w:rPr>
          <w:rFonts w:asciiTheme="minorHAnsi" w:hAnsiTheme="minorHAnsi"/>
        </w:rPr>
        <w:t xml:space="preserve"> e alle</w:t>
      </w:r>
      <w:r w:rsidR="00D9439A" w:rsidRPr="00EC28E1">
        <w:rPr>
          <w:rFonts w:asciiTheme="minorHAnsi" w:hAnsiTheme="minorHAnsi"/>
        </w:rPr>
        <w:t xml:space="preserve"> attività effettuate in relazione a ciascun comune</w:t>
      </w:r>
      <w:r w:rsidR="0034669D" w:rsidRPr="00EC28E1">
        <w:rPr>
          <w:rFonts w:asciiTheme="minorHAnsi" w:hAnsiTheme="minorHAnsi"/>
        </w:rPr>
        <w:t xml:space="preserve">, </w:t>
      </w:r>
      <w:r w:rsidR="00D9439A" w:rsidRPr="00EC28E1">
        <w:rPr>
          <w:rFonts w:asciiTheme="minorHAnsi" w:hAnsiTheme="minorHAnsi"/>
        </w:rPr>
        <w:t xml:space="preserve"> distinguendo tra le attività incluse nel servizio integrato di gestione (spazzamento e lavaggio delle strade; raccolta e trasporto; recupero e smaltimento, attività di gestione tariffe e rapporti con gli utenti) e attività esterne al servizio integrato di gestione</w:t>
      </w:r>
      <w:r w:rsidR="0034669D" w:rsidRPr="00EC28E1">
        <w:rPr>
          <w:rFonts w:asciiTheme="minorHAnsi" w:hAnsiTheme="minorHAnsi"/>
        </w:rPr>
        <w:t xml:space="preserve"> si </w:t>
      </w:r>
      <w:r w:rsidR="0034669D" w:rsidRPr="006664C2">
        <w:rPr>
          <w:rFonts w:asciiTheme="minorHAnsi" w:hAnsiTheme="minorHAnsi"/>
        </w:rPr>
        <w:t xml:space="preserve">rimanda </w:t>
      </w:r>
      <w:r w:rsidR="00A76A77" w:rsidRPr="006664C2">
        <w:rPr>
          <w:rFonts w:asciiTheme="minorHAnsi" w:hAnsiTheme="minorHAnsi"/>
        </w:rPr>
        <w:t>a</w:t>
      </w:r>
      <w:r w:rsidR="00D042C9" w:rsidRPr="006664C2">
        <w:rPr>
          <w:rFonts w:asciiTheme="minorHAnsi" w:hAnsiTheme="minorHAnsi"/>
          <w:lang w:eastAsia="en-GB"/>
        </w:rPr>
        <w:t>lle</w:t>
      </w:r>
      <w:r w:rsidR="00A76A77" w:rsidRPr="006664C2">
        <w:rPr>
          <w:rFonts w:asciiTheme="minorHAnsi" w:hAnsiTheme="minorHAnsi"/>
          <w:lang w:eastAsia="en-GB"/>
        </w:rPr>
        <w:t xml:space="preserve"> Relazione di Accompagnamento fornita da</w:t>
      </w:r>
      <w:r w:rsidR="00B360B6" w:rsidRPr="006664C2">
        <w:rPr>
          <w:rFonts w:asciiTheme="minorHAnsi" w:hAnsiTheme="minorHAnsi"/>
          <w:lang w:eastAsia="en-GB"/>
        </w:rPr>
        <w:t>l</w:t>
      </w:r>
      <w:r w:rsidR="00A76A77" w:rsidRPr="006664C2">
        <w:rPr>
          <w:rFonts w:asciiTheme="minorHAnsi" w:hAnsiTheme="minorHAnsi"/>
          <w:lang w:eastAsia="en-GB"/>
        </w:rPr>
        <w:t xml:space="preserve"> Gestor</w:t>
      </w:r>
      <w:r w:rsidR="00B360B6" w:rsidRPr="006664C2">
        <w:rPr>
          <w:rFonts w:asciiTheme="minorHAnsi" w:hAnsiTheme="minorHAnsi"/>
          <w:lang w:eastAsia="en-GB"/>
        </w:rPr>
        <w:t>e</w:t>
      </w:r>
      <w:r w:rsidR="00A76A77" w:rsidRPr="006664C2">
        <w:rPr>
          <w:rFonts w:asciiTheme="minorHAnsi" w:hAnsiTheme="minorHAnsi"/>
          <w:lang w:eastAsia="en-GB"/>
        </w:rPr>
        <w:t xml:space="preserve"> </w:t>
      </w:r>
      <w:r w:rsidR="001246DE" w:rsidRPr="006664C2">
        <w:rPr>
          <w:rFonts w:asciiTheme="minorHAnsi" w:hAnsiTheme="minorHAnsi"/>
        </w:rPr>
        <w:t>Egea ambiente S.r.l.</w:t>
      </w:r>
      <w:r w:rsidR="00C03690" w:rsidRPr="006664C2">
        <w:rPr>
          <w:rFonts w:asciiTheme="minorHAnsi" w:hAnsiTheme="minorHAnsi"/>
        </w:rPr>
        <w:t xml:space="preserve"> </w:t>
      </w:r>
      <w:r w:rsidR="00A76A77" w:rsidRPr="006664C2">
        <w:rPr>
          <w:rFonts w:asciiTheme="minorHAnsi" w:hAnsiTheme="minorHAnsi"/>
          <w:lang w:eastAsia="en-GB"/>
        </w:rPr>
        <w:t>allegata alla presente relazione</w:t>
      </w:r>
      <w:r w:rsidR="00D9439A" w:rsidRPr="006664C2">
        <w:rPr>
          <w:rFonts w:asciiTheme="minorHAnsi" w:hAnsiTheme="minorHAnsi"/>
        </w:rPr>
        <w:t>.</w:t>
      </w:r>
      <w:r w:rsidR="006664C2">
        <w:rPr>
          <w:rFonts w:asciiTheme="minorHAnsi" w:hAnsiTheme="minorHAnsi"/>
        </w:rPr>
        <w:t xml:space="preserve"> </w:t>
      </w:r>
    </w:p>
    <w:p w14:paraId="787A28B2" w14:textId="10811E9D" w:rsidR="0077334E" w:rsidRDefault="0077334E" w:rsidP="0077334E">
      <w:pPr>
        <w:rPr>
          <w:szCs w:val="22"/>
        </w:rPr>
      </w:pPr>
      <w:r>
        <w:t>Nell’apposita sezione dedicata Trasparenza Rifiuti ARERA 444/2019/R/rif al seguente indirizzo</w:t>
      </w:r>
      <w:hyperlink r:id="rId8" w:history="1">
        <w:r>
          <w:rPr>
            <w:rStyle w:val="Collegamentoipertestuale"/>
          </w:rPr>
          <w:t>www.cec-cuneo.it</w:t>
        </w:r>
      </w:hyperlink>
      <w:r>
        <w:t>, vengono fornite tutte le informazioni relative ai servizi gestiti per Comune</w:t>
      </w:r>
      <w:r w:rsidR="006664C2">
        <w:t>.</w:t>
      </w:r>
    </w:p>
    <w:p w14:paraId="01781FBE" w14:textId="77777777" w:rsidR="00EE1898" w:rsidRDefault="00EE1898" w:rsidP="00EE1898">
      <w:pPr>
        <w:rPr>
          <w:rFonts w:asciiTheme="minorHAnsi" w:hAnsiTheme="minorHAnsi"/>
        </w:rPr>
      </w:pPr>
      <w:r>
        <w:rPr>
          <w:rFonts w:asciiTheme="minorHAnsi" w:hAnsiTheme="minorHAnsi"/>
        </w:rPr>
        <w:t>In sintesi CEC nella predisposizione del PEF secondo quanto previsto dalla normativa vigente ricopre il duplice ruolo di Gestore</w:t>
      </w:r>
      <w:r w:rsidR="00993763">
        <w:rPr>
          <w:rFonts w:asciiTheme="minorHAnsi" w:hAnsiTheme="minorHAnsi"/>
        </w:rPr>
        <w:t xml:space="preserve"> </w:t>
      </w:r>
      <w:r>
        <w:rPr>
          <w:rFonts w:asciiTheme="minorHAnsi" w:hAnsiTheme="minorHAnsi"/>
        </w:rPr>
        <w:t>e di Ente Territorialmente Competente.</w:t>
      </w:r>
    </w:p>
    <w:p w14:paraId="78665EDD" w14:textId="77777777" w:rsidR="0034191C" w:rsidRPr="0034669D" w:rsidRDefault="0034191C" w:rsidP="0034191C">
      <w:pPr>
        <w:rPr>
          <w:rFonts w:asciiTheme="minorHAnsi" w:hAnsiTheme="minorHAnsi"/>
        </w:rPr>
      </w:pPr>
    </w:p>
    <w:p w14:paraId="0A522FE3" w14:textId="77777777" w:rsidR="0034191C" w:rsidRPr="00DD205A" w:rsidRDefault="0034191C" w:rsidP="003F0BF9">
      <w:pPr>
        <w:pStyle w:val="Titolo2"/>
      </w:pPr>
      <w:bookmarkStart w:id="4" w:name="_Toc45528366"/>
      <w:r w:rsidRPr="00DD205A">
        <w:t>Altre informazioni rilevanti</w:t>
      </w:r>
      <w:bookmarkEnd w:id="4"/>
    </w:p>
    <w:p w14:paraId="0E03D030" w14:textId="77777777" w:rsidR="00352AC0" w:rsidRPr="00DD205A" w:rsidRDefault="00B6594A" w:rsidP="00EC28E1">
      <w:pPr>
        <w:rPr>
          <w:rFonts w:asciiTheme="minorHAnsi" w:hAnsiTheme="minorHAnsi"/>
        </w:rPr>
      </w:pPr>
      <w:r w:rsidRPr="00DD205A">
        <w:rPr>
          <w:rFonts w:asciiTheme="minorHAnsi" w:hAnsiTheme="minorHAnsi"/>
        </w:rPr>
        <w:t>CEC,</w:t>
      </w:r>
      <w:r w:rsidR="00E270ED" w:rsidRPr="00DD205A">
        <w:rPr>
          <w:rFonts w:asciiTheme="minorHAnsi" w:hAnsiTheme="minorHAnsi"/>
        </w:rPr>
        <w:t xml:space="preserve"> </w:t>
      </w:r>
      <w:r w:rsidR="00A76A77" w:rsidRPr="00DD205A">
        <w:rPr>
          <w:rFonts w:asciiTheme="minorHAnsi" w:hAnsiTheme="minorHAnsi"/>
        </w:rPr>
        <w:t>per quanto di sua competenza,</w:t>
      </w:r>
      <w:r w:rsidR="00352AC0" w:rsidRPr="00DD205A">
        <w:rPr>
          <w:rFonts w:asciiTheme="minorHAnsi" w:hAnsiTheme="minorHAnsi"/>
        </w:rPr>
        <w:t xml:space="preserve"> dichiara</w:t>
      </w:r>
      <w:r w:rsidR="00E270ED" w:rsidRPr="00DD205A">
        <w:rPr>
          <w:rFonts w:asciiTheme="minorHAnsi" w:hAnsiTheme="minorHAnsi"/>
        </w:rPr>
        <w:t>, sotto la propria responsabilità,</w:t>
      </w:r>
      <w:r w:rsidR="00352AC0" w:rsidRPr="00DD205A">
        <w:rPr>
          <w:rFonts w:asciiTheme="minorHAnsi" w:hAnsiTheme="minorHAnsi"/>
        </w:rPr>
        <w:t xml:space="preserve"> di non avere in corso procedure fallimentari, concordati preventivi o altre situazioni di rilievo relativamente al suo stato giuridico-patrimoniale.</w:t>
      </w:r>
    </w:p>
    <w:p w14:paraId="4356882C" w14:textId="77777777" w:rsidR="00352AC0" w:rsidRPr="00DD205A" w:rsidRDefault="00B6594A" w:rsidP="00EC28E1">
      <w:pPr>
        <w:rPr>
          <w:rFonts w:asciiTheme="minorHAnsi" w:hAnsiTheme="minorHAnsi"/>
        </w:rPr>
      </w:pPr>
      <w:r w:rsidRPr="00DD205A">
        <w:rPr>
          <w:rFonts w:asciiTheme="minorHAnsi" w:hAnsiTheme="minorHAnsi"/>
        </w:rPr>
        <w:t>CEC,</w:t>
      </w:r>
      <w:r w:rsidR="00A76A77" w:rsidRPr="00DD205A">
        <w:rPr>
          <w:rFonts w:asciiTheme="minorHAnsi" w:hAnsiTheme="minorHAnsi"/>
        </w:rPr>
        <w:t xml:space="preserve"> per quanto di sua competenza,</w:t>
      </w:r>
      <w:r w:rsidR="00A76A77" w:rsidRPr="00DD205A" w:rsidDel="00B6594A">
        <w:rPr>
          <w:rFonts w:asciiTheme="minorHAnsi" w:hAnsiTheme="minorHAnsi"/>
          <w:color w:val="0070C0"/>
        </w:rPr>
        <w:t xml:space="preserve"> </w:t>
      </w:r>
      <w:r w:rsidR="00352AC0" w:rsidRPr="00DD205A">
        <w:rPr>
          <w:rFonts w:asciiTheme="minorHAnsi" w:hAnsiTheme="minorHAnsi"/>
        </w:rPr>
        <w:t>dichiara</w:t>
      </w:r>
      <w:r w:rsidR="00E270ED" w:rsidRPr="00DD205A">
        <w:rPr>
          <w:rFonts w:asciiTheme="minorHAnsi" w:hAnsiTheme="minorHAnsi"/>
        </w:rPr>
        <w:t>, altresì,</w:t>
      </w:r>
      <w:r w:rsidR="00352AC0" w:rsidRPr="00DD205A">
        <w:rPr>
          <w:rFonts w:asciiTheme="minorHAnsi" w:hAnsiTheme="minorHAnsi"/>
        </w:rPr>
        <w:t xml:space="preserve"> di non avere ricorsi pendenti.</w:t>
      </w:r>
    </w:p>
    <w:p w14:paraId="69B2C571" w14:textId="77777777" w:rsidR="00FF6A01" w:rsidRDefault="00352AC0" w:rsidP="003E336F">
      <w:pPr>
        <w:rPr>
          <w:rFonts w:asciiTheme="minorHAnsi" w:hAnsiTheme="minorHAnsi"/>
        </w:rPr>
      </w:pPr>
      <w:r w:rsidRPr="00DD205A">
        <w:rPr>
          <w:rFonts w:asciiTheme="minorHAnsi" w:hAnsiTheme="minorHAnsi"/>
        </w:rPr>
        <w:t>Non risultano sentenze passate in giudicato.</w:t>
      </w:r>
    </w:p>
    <w:p w14:paraId="0A4D6881" w14:textId="77777777" w:rsidR="00F113E1" w:rsidRDefault="00F113E1" w:rsidP="003E336F">
      <w:pPr>
        <w:rPr>
          <w:rFonts w:asciiTheme="minorHAnsi" w:hAnsiTheme="minorHAnsi"/>
        </w:rPr>
      </w:pPr>
    </w:p>
    <w:p w14:paraId="56AED848" w14:textId="77777777" w:rsidR="00F113E1" w:rsidRPr="0034669D" w:rsidRDefault="00F113E1" w:rsidP="003E336F">
      <w:pPr>
        <w:rPr>
          <w:rFonts w:asciiTheme="minorHAnsi" w:hAnsiTheme="minorHAnsi"/>
        </w:rPr>
      </w:pPr>
    </w:p>
    <w:p w14:paraId="0CAC1D92" w14:textId="77777777" w:rsidR="005316ED" w:rsidRPr="00EC28E1" w:rsidRDefault="00FF6A01" w:rsidP="003502AE">
      <w:pPr>
        <w:pStyle w:val="Titolo1"/>
      </w:pPr>
      <w:bookmarkStart w:id="5" w:name="_Toc45528367"/>
      <w:r w:rsidRPr="00EC28E1">
        <w:t xml:space="preserve">Dati relativi alla gestione </w:t>
      </w:r>
      <w:r w:rsidR="00594C60" w:rsidRPr="00EC28E1">
        <w:t>dell’ambito o bacino di affidamento</w:t>
      </w:r>
      <w:bookmarkEnd w:id="5"/>
    </w:p>
    <w:p w14:paraId="41F73498" w14:textId="77777777" w:rsidR="00352AC0" w:rsidRDefault="00352AC0" w:rsidP="00EC28E1">
      <w:pPr>
        <w:rPr>
          <w:rFonts w:asciiTheme="minorHAnsi" w:hAnsiTheme="minorHAnsi"/>
        </w:rPr>
      </w:pPr>
      <w:r w:rsidRPr="00D0367A">
        <w:rPr>
          <w:rFonts w:asciiTheme="minorHAnsi" w:hAnsiTheme="minorHAnsi"/>
        </w:rPr>
        <w:t>Nella presente sezione, così come previsto dallo schema tipo della Relazione di Accompagnamento fornito dall’Appendice 2 della deliberazione 443/2019/R/</w:t>
      </w:r>
      <w:r w:rsidRPr="00D0367A">
        <w:rPr>
          <w:rFonts w:asciiTheme="minorHAnsi" w:hAnsiTheme="minorHAnsi"/>
          <w:smallCaps/>
        </w:rPr>
        <w:t>rif</w:t>
      </w:r>
      <w:r w:rsidR="00572EFF" w:rsidRPr="00D0367A">
        <w:rPr>
          <w:rFonts w:asciiTheme="minorHAnsi" w:hAnsiTheme="minorHAnsi"/>
          <w:smallCaps/>
        </w:rPr>
        <w:t xml:space="preserve">, </w:t>
      </w:r>
      <w:r w:rsidR="00835A82" w:rsidRPr="00D0367A">
        <w:rPr>
          <w:rFonts w:asciiTheme="minorHAnsi" w:hAnsiTheme="minorHAnsi"/>
        </w:rPr>
        <w:t xml:space="preserve">vengono commentati i dati inseriti nelle diverse sezioni della modulistica </w:t>
      </w:r>
      <w:r w:rsidR="00835A82" w:rsidRPr="00D0367A">
        <w:rPr>
          <w:rFonts w:asciiTheme="minorHAnsi" w:hAnsiTheme="minorHAnsi"/>
          <w:i/>
          <w:iCs/>
        </w:rPr>
        <w:t xml:space="preserve">excel </w:t>
      </w:r>
      <w:r w:rsidR="00835A82" w:rsidRPr="00D0367A">
        <w:rPr>
          <w:rFonts w:asciiTheme="minorHAnsi" w:hAnsiTheme="minorHAnsi"/>
        </w:rPr>
        <w:t>di raccolta dati allegata alla presente relazione</w:t>
      </w:r>
      <w:r w:rsidR="003F0BF9">
        <w:rPr>
          <w:rFonts w:asciiTheme="minorHAnsi" w:hAnsiTheme="minorHAnsi"/>
        </w:rPr>
        <w:t>.</w:t>
      </w:r>
    </w:p>
    <w:p w14:paraId="43A97ACB" w14:textId="77777777" w:rsidR="00EE1898" w:rsidRDefault="00EE1898" w:rsidP="00B6594A">
      <w:pPr>
        <w:rPr>
          <w:rFonts w:asciiTheme="minorHAnsi" w:hAnsiTheme="minorHAnsi"/>
        </w:rPr>
      </w:pPr>
      <w:r>
        <w:rPr>
          <w:rFonts w:asciiTheme="minorHAnsi" w:hAnsiTheme="minorHAnsi"/>
        </w:rPr>
        <w:t>Nei successivi paragrafi vengono rappresentate le informazioni relative al CEC e alle modalità di predisposizione del PEF, oltre alle informazioni derivanti dai Comuni.</w:t>
      </w:r>
    </w:p>
    <w:p w14:paraId="57D893D6" w14:textId="77777777" w:rsidR="00EE1898" w:rsidRDefault="00EE1898" w:rsidP="00B6594A">
      <w:pPr>
        <w:rPr>
          <w:rFonts w:asciiTheme="minorHAnsi" w:hAnsiTheme="minorHAnsi"/>
        </w:rPr>
      </w:pPr>
      <w:r>
        <w:rPr>
          <w:rFonts w:asciiTheme="minorHAnsi" w:hAnsiTheme="minorHAnsi"/>
        </w:rPr>
        <w:t>Per tutte le altre informazioni si rimanda alle Relazioni di Accompagnamento de</w:t>
      </w:r>
      <w:r w:rsidR="00D042C9">
        <w:rPr>
          <w:rFonts w:asciiTheme="minorHAnsi" w:hAnsiTheme="minorHAnsi"/>
        </w:rPr>
        <w:t>i</w:t>
      </w:r>
      <w:r w:rsidR="00B360B6">
        <w:rPr>
          <w:rFonts w:asciiTheme="minorHAnsi" w:hAnsiTheme="minorHAnsi"/>
        </w:rPr>
        <w:t xml:space="preserve"> </w:t>
      </w:r>
      <w:r>
        <w:rPr>
          <w:rFonts w:asciiTheme="minorHAnsi" w:hAnsiTheme="minorHAnsi"/>
        </w:rPr>
        <w:t>Gestor</w:t>
      </w:r>
      <w:r w:rsidR="00D042C9">
        <w:rPr>
          <w:rFonts w:asciiTheme="minorHAnsi" w:hAnsiTheme="minorHAnsi"/>
        </w:rPr>
        <w:t>i</w:t>
      </w:r>
      <w:r>
        <w:rPr>
          <w:rFonts w:asciiTheme="minorHAnsi" w:hAnsiTheme="minorHAnsi"/>
        </w:rPr>
        <w:t>.</w:t>
      </w:r>
    </w:p>
    <w:p w14:paraId="2AAC6DA2" w14:textId="77777777" w:rsidR="007A1B60" w:rsidRPr="00DD205A" w:rsidRDefault="007A1B60" w:rsidP="00B6594A">
      <w:pPr>
        <w:rPr>
          <w:rFonts w:asciiTheme="minorHAnsi" w:hAnsiTheme="minorHAnsi"/>
        </w:rPr>
      </w:pPr>
      <w:r w:rsidRPr="00DD205A">
        <w:rPr>
          <w:rFonts w:asciiTheme="minorHAnsi" w:hAnsiTheme="minorHAnsi"/>
        </w:rPr>
        <w:t>Ai fini della predisposizione dei PEF,</w:t>
      </w:r>
      <w:r w:rsidR="00EA2C9A" w:rsidRPr="00DD205A">
        <w:rPr>
          <w:rFonts w:asciiTheme="minorHAnsi" w:hAnsiTheme="minorHAnsi"/>
        </w:rPr>
        <w:t xml:space="preserve"> </w:t>
      </w:r>
      <w:r w:rsidR="004F62BE" w:rsidRPr="00DD205A">
        <w:rPr>
          <w:rFonts w:asciiTheme="minorHAnsi" w:hAnsiTheme="minorHAnsi"/>
        </w:rPr>
        <w:t xml:space="preserve">sono stati utilizzati i </w:t>
      </w:r>
      <w:r w:rsidR="00EA2C9A" w:rsidRPr="00DD205A">
        <w:rPr>
          <w:rFonts w:asciiTheme="minorHAnsi" w:hAnsiTheme="minorHAnsi"/>
        </w:rPr>
        <w:t xml:space="preserve">costi relativi al servizio dei rifiuti ricevuti dai gestori per l’anno 2017 e 2018 suddivisi per </w:t>
      </w:r>
      <w:r w:rsidR="003C3BA0" w:rsidRPr="00DD205A">
        <w:rPr>
          <w:rFonts w:asciiTheme="minorHAnsi" w:hAnsiTheme="minorHAnsi"/>
        </w:rPr>
        <w:t xml:space="preserve">i </w:t>
      </w:r>
      <w:r w:rsidR="00EA2C9A" w:rsidRPr="00DD205A">
        <w:rPr>
          <w:rFonts w:asciiTheme="minorHAnsi" w:hAnsiTheme="minorHAnsi"/>
        </w:rPr>
        <w:t>comuni</w:t>
      </w:r>
      <w:r w:rsidR="003C3BA0" w:rsidRPr="00DD205A">
        <w:rPr>
          <w:rFonts w:asciiTheme="minorHAnsi" w:hAnsiTheme="minorHAnsi"/>
        </w:rPr>
        <w:t xml:space="preserve"> dell’affidamento </w:t>
      </w:r>
      <w:r w:rsidR="001246DE">
        <w:rPr>
          <w:rFonts w:asciiTheme="minorHAnsi" w:hAnsiTheme="minorHAnsi"/>
        </w:rPr>
        <w:t xml:space="preserve">Valli Maira e Grana </w:t>
      </w:r>
      <w:r w:rsidR="00EA2C9A" w:rsidRPr="00DD205A">
        <w:rPr>
          <w:rFonts w:asciiTheme="minorHAnsi" w:hAnsiTheme="minorHAnsi"/>
        </w:rPr>
        <w:t>e già attribuiti alle rispettive componenti tariffarie riconosciute ai fini MTR.</w:t>
      </w:r>
    </w:p>
    <w:p w14:paraId="33F6A11D" w14:textId="77777777" w:rsidR="00EA2C9A" w:rsidRPr="00DD205A" w:rsidRDefault="00EA2C9A" w:rsidP="00B6594A">
      <w:pPr>
        <w:rPr>
          <w:rFonts w:asciiTheme="minorHAnsi" w:hAnsiTheme="minorHAnsi"/>
        </w:rPr>
      </w:pPr>
      <w:r w:rsidRPr="00DD205A">
        <w:rPr>
          <w:rFonts w:asciiTheme="minorHAnsi" w:hAnsiTheme="minorHAnsi"/>
        </w:rPr>
        <w:t xml:space="preserve">Da tali costi si è proceduto all’elaborazione di un file intermedio finalizzato a totalizzare i singoli contributi di costo dei gestori a livello di singolo comune per il 2017 e il 2018. </w:t>
      </w:r>
    </w:p>
    <w:p w14:paraId="178FB765" w14:textId="77777777" w:rsidR="00EA2C9A" w:rsidRPr="00DD205A" w:rsidRDefault="00EA2C9A" w:rsidP="00B6594A">
      <w:pPr>
        <w:rPr>
          <w:rFonts w:asciiTheme="minorHAnsi" w:hAnsiTheme="minorHAnsi"/>
        </w:rPr>
      </w:pPr>
      <w:r w:rsidRPr="00DD205A">
        <w:rPr>
          <w:rFonts w:asciiTheme="minorHAnsi" w:hAnsiTheme="minorHAnsi"/>
        </w:rPr>
        <w:t>I costi totali 2017-2018 relativi ai</w:t>
      </w:r>
      <w:r w:rsidR="008C2599" w:rsidRPr="00DD205A">
        <w:rPr>
          <w:rFonts w:asciiTheme="minorHAnsi" w:hAnsiTheme="minorHAnsi"/>
        </w:rPr>
        <w:t xml:space="preserve"> gestori</w:t>
      </w:r>
      <w:r w:rsidR="00627ECF" w:rsidRPr="00DD205A">
        <w:rPr>
          <w:rFonts w:asciiTheme="minorHAnsi" w:hAnsiTheme="minorHAnsi"/>
        </w:rPr>
        <w:t xml:space="preserve"> e opportunamente rielaborati</w:t>
      </w:r>
      <w:r w:rsidR="008C2599" w:rsidRPr="00DD205A">
        <w:rPr>
          <w:rFonts w:asciiTheme="minorHAnsi" w:hAnsiTheme="minorHAnsi"/>
        </w:rPr>
        <w:t xml:space="preserve"> sono stati inseriti </w:t>
      </w:r>
      <w:r w:rsidR="00627ECF" w:rsidRPr="00DD205A">
        <w:rPr>
          <w:rFonts w:asciiTheme="minorHAnsi" w:hAnsiTheme="minorHAnsi"/>
        </w:rPr>
        <w:t>nel modello</w:t>
      </w:r>
      <w:r w:rsidRPr="00DD205A">
        <w:rPr>
          <w:rFonts w:asciiTheme="minorHAnsi" w:hAnsiTheme="minorHAnsi"/>
        </w:rPr>
        <w:t xml:space="preserve"> di calcolo ai fini della determinazione delle tariffe 2020 lato gestore e dei conguagli.</w:t>
      </w:r>
    </w:p>
    <w:p w14:paraId="7F7B59B5" w14:textId="77777777" w:rsidR="00EA2C9A" w:rsidRPr="00DD205A" w:rsidRDefault="00EA2C9A" w:rsidP="00B6594A">
      <w:pPr>
        <w:rPr>
          <w:rFonts w:asciiTheme="minorHAnsi" w:hAnsiTheme="minorHAnsi"/>
        </w:rPr>
      </w:pPr>
      <w:r w:rsidRPr="00DD205A">
        <w:rPr>
          <w:rFonts w:asciiTheme="minorHAnsi" w:hAnsiTheme="minorHAnsi"/>
        </w:rPr>
        <w:t xml:space="preserve">Per quanto concerne i costi lato comuni, </w:t>
      </w:r>
      <w:r w:rsidR="00627ECF" w:rsidRPr="00DD205A">
        <w:rPr>
          <w:rFonts w:asciiTheme="minorHAnsi" w:hAnsiTheme="minorHAnsi"/>
        </w:rPr>
        <w:t xml:space="preserve">sono state utilizzate le informazioni di costo relative al servizio dei rifiuti ricevuti dai comuni appartenenti al lotto </w:t>
      </w:r>
      <w:r w:rsidR="001246DE">
        <w:rPr>
          <w:rFonts w:asciiTheme="minorHAnsi" w:hAnsiTheme="minorHAnsi"/>
        </w:rPr>
        <w:t xml:space="preserve">Valli Maira e Grana </w:t>
      </w:r>
      <w:r w:rsidR="00627ECF" w:rsidRPr="00DD205A">
        <w:rPr>
          <w:rFonts w:asciiTheme="minorHAnsi" w:hAnsiTheme="minorHAnsi"/>
        </w:rPr>
        <w:t>per l’anno 2017 e 2018 opportunamente rielaborate ai fini della predisposizione del PEF lato comune</w:t>
      </w:r>
    </w:p>
    <w:p w14:paraId="3A2D618D" w14:textId="77777777" w:rsidR="00627ECF" w:rsidRDefault="00627ECF" w:rsidP="00B6594A">
      <w:pPr>
        <w:rPr>
          <w:rFonts w:asciiTheme="minorHAnsi" w:hAnsiTheme="minorHAnsi"/>
        </w:rPr>
      </w:pPr>
      <w:r w:rsidRPr="00DD205A">
        <w:rPr>
          <w:rFonts w:asciiTheme="minorHAnsi" w:hAnsiTheme="minorHAnsi"/>
        </w:rPr>
        <w:t>I costi complessivi lato gestore e lato ente hanno concorso alla determinazione delle tariffe 2020.</w:t>
      </w:r>
      <w:r>
        <w:rPr>
          <w:rFonts w:asciiTheme="minorHAnsi" w:hAnsiTheme="minorHAnsi"/>
        </w:rPr>
        <w:t xml:space="preserve"> </w:t>
      </w:r>
    </w:p>
    <w:p w14:paraId="7A042E2B" w14:textId="77777777" w:rsidR="00B6594A" w:rsidRPr="00EC28E1" w:rsidRDefault="00B6594A" w:rsidP="00EC28E1">
      <w:pPr>
        <w:rPr>
          <w:rFonts w:asciiTheme="minorHAnsi" w:hAnsiTheme="minorHAnsi"/>
        </w:rPr>
      </w:pPr>
    </w:p>
    <w:p w14:paraId="0D6C208F" w14:textId="77777777" w:rsidR="005316ED" w:rsidRPr="00EC28E1" w:rsidRDefault="00A94BD8" w:rsidP="003F0BF9">
      <w:pPr>
        <w:pStyle w:val="Titolo2"/>
      </w:pPr>
      <w:bookmarkStart w:id="6" w:name="_Toc45528368"/>
      <w:r w:rsidRPr="00EC28E1">
        <w:t>Dati tecnici e patrimoniali</w:t>
      </w:r>
      <w:bookmarkEnd w:id="6"/>
    </w:p>
    <w:p w14:paraId="0829C806" w14:textId="77777777" w:rsidR="00A94BD8" w:rsidRPr="003F0BF9" w:rsidRDefault="00A94BD8" w:rsidP="00C97FE5">
      <w:pPr>
        <w:pStyle w:val="Titolo3"/>
      </w:pPr>
      <w:bookmarkStart w:id="7" w:name="_Toc23417913"/>
      <w:bookmarkStart w:id="8" w:name="_Toc23418030"/>
      <w:bookmarkStart w:id="9" w:name="_Toc23418156"/>
      <w:bookmarkStart w:id="10" w:name="_Ref38447009"/>
      <w:bookmarkStart w:id="11" w:name="_Toc45528369"/>
      <w:bookmarkEnd w:id="7"/>
      <w:bookmarkEnd w:id="8"/>
      <w:bookmarkEnd w:id="9"/>
      <w:r w:rsidRPr="003F0BF9">
        <w:t>Dati su</w:t>
      </w:r>
      <w:r w:rsidR="00131398" w:rsidRPr="003F0BF9">
        <w:t>l</w:t>
      </w:r>
      <w:r w:rsidRPr="003F0BF9">
        <w:t xml:space="preserve"> territorio gestito e</w:t>
      </w:r>
      <w:r w:rsidR="00131398" w:rsidRPr="003F0BF9">
        <w:t xml:space="preserve"> sull’</w:t>
      </w:r>
      <w:r w:rsidRPr="003F0BF9">
        <w:t>affidamento</w:t>
      </w:r>
      <w:bookmarkEnd w:id="10"/>
      <w:bookmarkEnd w:id="11"/>
    </w:p>
    <w:p w14:paraId="45EB38E4" w14:textId="77777777" w:rsidR="003928D5" w:rsidRPr="00DD205A" w:rsidRDefault="003928D5" w:rsidP="00EC28E1">
      <w:pPr>
        <w:rPr>
          <w:rFonts w:asciiTheme="minorHAnsi" w:hAnsiTheme="minorHAnsi"/>
        </w:rPr>
      </w:pPr>
      <w:r>
        <w:rPr>
          <w:rFonts w:asciiTheme="minorHAnsi" w:hAnsiTheme="minorHAnsi"/>
        </w:rPr>
        <w:t xml:space="preserve">Per l’anno 2020 </w:t>
      </w:r>
      <w:r w:rsidRPr="00DD205A">
        <w:rPr>
          <w:rFonts w:asciiTheme="minorHAnsi" w:hAnsiTheme="minorHAnsi"/>
        </w:rPr>
        <w:t>n</w:t>
      </w:r>
      <w:r w:rsidR="00BA1556" w:rsidRPr="00DD205A">
        <w:rPr>
          <w:rFonts w:asciiTheme="minorHAnsi" w:hAnsiTheme="minorHAnsi"/>
        </w:rPr>
        <w:t>on vi sono</w:t>
      </w:r>
      <w:r w:rsidRPr="00DD205A">
        <w:rPr>
          <w:rFonts w:asciiTheme="minorHAnsi" w:hAnsiTheme="minorHAnsi"/>
        </w:rPr>
        <w:t>:</w:t>
      </w:r>
    </w:p>
    <w:p w14:paraId="6BF24AD5" w14:textId="77777777" w:rsidR="00A76A77" w:rsidRPr="00DD205A" w:rsidRDefault="003928D5" w:rsidP="00B049D5">
      <w:pPr>
        <w:numPr>
          <w:ilvl w:val="0"/>
          <w:numId w:val="5"/>
        </w:numPr>
        <w:rPr>
          <w:rFonts w:asciiTheme="minorHAnsi" w:hAnsiTheme="minorHAnsi"/>
        </w:rPr>
      </w:pPr>
      <w:r w:rsidRPr="00DD205A">
        <w:rPr>
          <w:rFonts w:asciiTheme="minorHAnsi" w:hAnsiTheme="minorHAnsi"/>
        </w:rPr>
        <w:t xml:space="preserve">variazioni attese di perimetro (PG) costituite dalla variazione delle attività effettuate da </w:t>
      </w:r>
      <w:r w:rsidR="00B6594A" w:rsidRPr="00DD205A">
        <w:rPr>
          <w:rFonts w:asciiTheme="minorHAnsi" w:hAnsiTheme="minorHAnsi"/>
        </w:rPr>
        <w:t xml:space="preserve">CEC, da </w:t>
      </w:r>
      <w:r w:rsidR="001246DE">
        <w:rPr>
          <w:rFonts w:asciiTheme="minorHAnsi" w:hAnsiTheme="minorHAnsi"/>
        </w:rPr>
        <w:t>Egea ambiente S.r.l.</w:t>
      </w:r>
      <w:r w:rsidR="00D042C9">
        <w:rPr>
          <w:rFonts w:asciiTheme="minorHAnsi" w:hAnsiTheme="minorHAnsi"/>
        </w:rPr>
        <w:t xml:space="preserve"> e da Docks Lanterna</w:t>
      </w:r>
      <w:r w:rsidR="00A76A77" w:rsidRPr="00DD205A">
        <w:rPr>
          <w:rFonts w:asciiTheme="minorHAnsi" w:hAnsiTheme="minorHAnsi"/>
        </w:rPr>
        <w:t>;</w:t>
      </w:r>
    </w:p>
    <w:p w14:paraId="492DBC92" w14:textId="77777777" w:rsidR="0026283A" w:rsidRDefault="003928D5" w:rsidP="00F113E1">
      <w:pPr>
        <w:numPr>
          <w:ilvl w:val="0"/>
          <w:numId w:val="5"/>
        </w:numPr>
        <w:rPr>
          <w:rFonts w:asciiTheme="minorHAnsi" w:hAnsiTheme="minorHAnsi"/>
        </w:rPr>
      </w:pPr>
      <w:r w:rsidRPr="00DD205A">
        <w:rPr>
          <w:rFonts w:asciiTheme="minorHAnsi" w:hAnsiTheme="minorHAnsi"/>
        </w:rPr>
        <w:lastRenderedPageBreak/>
        <w:t>variazioni attese delle caratteristiche del servizio (QL) intese come variazioni delle modalità e caratteristiche del servizio integrato di gestione dei RU e/o dei singoli servizi che lo compongono, unitamente al miglioramento delle prestazioni erogate agli utenti</w:t>
      </w:r>
      <w:r w:rsidR="00661786" w:rsidRPr="00DD205A">
        <w:rPr>
          <w:rFonts w:asciiTheme="minorHAnsi" w:hAnsiTheme="minorHAnsi"/>
        </w:rPr>
        <w:t>.</w:t>
      </w:r>
      <w:r w:rsidR="009A2F02" w:rsidRPr="00DD205A">
        <w:rPr>
          <w:rFonts w:asciiTheme="minorHAnsi" w:hAnsiTheme="minorHAnsi"/>
        </w:rPr>
        <w:t xml:space="preserve"> </w:t>
      </w:r>
    </w:p>
    <w:p w14:paraId="7AA81C28" w14:textId="77777777" w:rsidR="00D042C9" w:rsidRPr="00DD205A" w:rsidRDefault="00D042C9" w:rsidP="00D042C9">
      <w:pPr>
        <w:ind w:left="720"/>
        <w:rPr>
          <w:rFonts w:asciiTheme="minorHAnsi" w:hAnsiTheme="minorHAnsi"/>
        </w:rPr>
      </w:pPr>
    </w:p>
    <w:p w14:paraId="1E4D12AF" w14:textId="77777777" w:rsidR="00C33520" w:rsidRPr="0034669D" w:rsidRDefault="00A94BD8" w:rsidP="00C97FE5">
      <w:pPr>
        <w:pStyle w:val="Titolo3"/>
      </w:pPr>
      <w:bookmarkStart w:id="12" w:name="_Toc45528370"/>
      <w:r w:rsidRPr="0034669D">
        <w:t>Dati tecnici</w:t>
      </w:r>
      <w:r w:rsidR="002B703E" w:rsidRPr="0034669D">
        <w:t xml:space="preserve"> e di qualità</w:t>
      </w:r>
      <w:bookmarkStart w:id="13" w:name="_Hlk22049505"/>
      <w:bookmarkEnd w:id="12"/>
    </w:p>
    <w:p w14:paraId="0DD289A3" w14:textId="77777777" w:rsidR="00661786" w:rsidRDefault="00661786" w:rsidP="00CC09E4">
      <w:pPr>
        <w:rPr>
          <w:rFonts w:asciiTheme="minorHAnsi" w:hAnsiTheme="minorHAnsi"/>
        </w:rPr>
      </w:pPr>
      <w:r>
        <w:rPr>
          <w:rFonts w:asciiTheme="minorHAnsi" w:hAnsiTheme="minorHAnsi"/>
        </w:rPr>
        <w:t xml:space="preserve">Per quanto attiene le </w:t>
      </w:r>
      <w:r w:rsidRPr="00D0367A">
        <w:rPr>
          <w:rFonts w:asciiTheme="minorHAnsi" w:hAnsiTheme="minorHAnsi"/>
        </w:rPr>
        <w:t xml:space="preserve">variazioni attese delle caratteristiche del servizio (QL) </w:t>
      </w:r>
      <w:r>
        <w:rPr>
          <w:rFonts w:asciiTheme="minorHAnsi" w:hAnsiTheme="minorHAnsi"/>
        </w:rPr>
        <w:t>si rimanda al paragrafo che precede.</w:t>
      </w:r>
    </w:p>
    <w:bookmarkEnd w:id="13"/>
    <w:p w14:paraId="60F6DF52" w14:textId="77777777" w:rsidR="00067AE9" w:rsidRDefault="00DA1AA2" w:rsidP="00E0319D">
      <w:r w:rsidRPr="00D0367A">
        <w:t xml:space="preserve">Nella successiva tabella vengono riportati i dati relativi alle percentuali della raccolta differenziata effettivamente conseguite </w:t>
      </w:r>
      <w:r w:rsidR="00661786">
        <w:t>negli anni 2018 e 2019</w:t>
      </w:r>
      <w:r w:rsidRPr="00D0367A">
        <w:rPr>
          <w:i/>
          <w:iCs/>
        </w:rPr>
        <w:t xml:space="preserve"> </w:t>
      </w:r>
      <w:r w:rsidRPr="00D0367A">
        <w:t>unitamente all’obiettivo prefissato da conseguire nel</w:t>
      </w:r>
      <w:r w:rsidR="00661786">
        <w:t xml:space="preserve"> 2020</w:t>
      </w:r>
      <w:r w:rsidR="007904DD">
        <w:t>,</w:t>
      </w:r>
      <w:r w:rsidRPr="007904DD">
        <w:t xml:space="preserve"> </w:t>
      </w:r>
      <w:r w:rsidRPr="00380162">
        <w:t>suddiviso per comune/affidamento.</w:t>
      </w:r>
    </w:p>
    <w:p w14:paraId="79E233F6" w14:textId="77777777" w:rsidR="003F27C6" w:rsidRPr="00E0319D" w:rsidRDefault="00E0319D" w:rsidP="00E0319D">
      <w:pPr>
        <w:pStyle w:val="Didascalia"/>
        <w:ind w:left="360"/>
        <w:rPr>
          <w:rFonts w:asciiTheme="minorHAnsi" w:hAnsiTheme="minorHAnsi"/>
          <w:lang w:eastAsia="en-GB"/>
        </w:rPr>
      </w:pPr>
      <w:r w:rsidRPr="00D042C9">
        <w:t xml:space="preserve">Tabella </w:t>
      </w:r>
      <w:r w:rsidR="00583CE5" w:rsidRPr="00D042C9">
        <w:rPr>
          <w:noProof/>
        </w:rPr>
        <w:fldChar w:fldCharType="begin"/>
      </w:r>
      <w:r w:rsidR="00583CE5" w:rsidRPr="00D042C9">
        <w:rPr>
          <w:noProof/>
        </w:rPr>
        <w:instrText xml:space="preserve"> SEQ Tabella \* ARABIC </w:instrText>
      </w:r>
      <w:r w:rsidR="00583CE5" w:rsidRPr="00D042C9">
        <w:rPr>
          <w:noProof/>
        </w:rPr>
        <w:fldChar w:fldCharType="separate"/>
      </w:r>
      <w:r w:rsidR="00ED351E" w:rsidRPr="00D042C9">
        <w:rPr>
          <w:noProof/>
        </w:rPr>
        <w:t>2</w:t>
      </w:r>
      <w:r w:rsidR="00583CE5" w:rsidRPr="00D042C9">
        <w:rPr>
          <w:noProof/>
        </w:rPr>
        <w:fldChar w:fldCharType="end"/>
      </w:r>
      <w:r w:rsidRPr="00D042C9">
        <w:t xml:space="preserve"> Risultati conseguiti nella raccolta differenziata</w:t>
      </w:r>
      <w:r>
        <w:t xml:space="preserve"> </w:t>
      </w:r>
    </w:p>
    <w:tbl>
      <w:tblPr>
        <w:tblStyle w:val="Tabellagriglia1chiara-colore11"/>
        <w:tblW w:w="0" w:type="auto"/>
        <w:tblInd w:w="108" w:type="dxa"/>
        <w:tblLook w:val="04A0" w:firstRow="1" w:lastRow="0" w:firstColumn="1" w:lastColumn="0" w:noHBand="0" w:noVBand="1"/>
      </w:tblPr>
      <w:tblGrid>
        <w:gridCol w:w="419"/>
        <w:gridCol w:w="2275"/>
        <w:gridCol w:w="2275"/>
        <w:gridCol w:w="2275"/>
        <w:gridCol w:w="2276"/>
      </w:tblGrid>
      <w:tr w:rsidR="00DA1AA2" w:rsidRPr="00B6594A" w14:paraId="47AA89BD" w14:textId="77777777" w:rsidTr="00D042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9" w:type="dxa"/>
          </w:tcPr>
          <w:p w14:paraId="75F06923" w14:textId="77777777" w:rsidR="00DA1AA2" w:rsidRPr="004B55F8" w:rsidRDefault="00661786" w:rsidP="006B0FCC">
            <w:pPr>
              <w:rPr>
                <w:rFonts w:asciiTheme="minorHAnsi" w:hAnsiTheme="minorHAnsi"/>
                <w:szCs w:val="20"/>
              </w:rPr>
            </w:pPr>
            <w:r w:rsidRPr="004B55F8">
              <w:rPr>
                <w:rFonts w:asciiTheme="minorHAnsi" w:hAnsiTheme="minorHAnsi"/>
                <w:szCs w:val="20"/>
              </w:rPr>
              <w:t>ID</w:t>
            </w:r>
          </w:p>
        </w:tc>
        <w:tc>
          <w:tcPr>
            <w:tcW w:w="2275" w:type="dxa"/>
          </w:tcPr>
          <w:p w14:paraId="22FE5ED3" w14:textId="77777777" w:rsidR="00DA1AA2" w:rsidRPr="004B55F8" w:rsidRDefault="00DA1AA2" w:rsidP="004B55F8">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szCs w:val="20"/>
              </w:rPr>
              <w:t>Comune</w:t>
            </w:r>
          </w:p>
        </w:tc>
        <w:tc>
          <w:tcPr>
            <w:tcW w:w="2275" w:type="dxa"/>
          </w:tcPr>
          <w:p w14:paraId="138888EA" w14:textId="77777777" w:rsidR="00DA1AA2" w:rsidRPr="004B55F8"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szCs w:val="20"/>
              </w:rPr>
              <w:t>% RD 2018</w:t>
            </w:r>
          </w:p>
        </w:tc>
        <w:tc>
          <w:tcPr>
            <w:tcW w:w="2275" w:type="dxa"/>
          </w:tcPr>
          <w:p w14:paraId="77F93EB0" w14:textId="77777777" w:rsidR="00DA1AA2" w:rsidRPr="004B55F8"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szCs w:val="20"/>
              </w:rPr>
              <w:t>% RD 2019</w:t>
            </w:r>
          </w:p>
        </w:tc>
        <w:tc>
          <w:tcPr>
            <w:tcW w:w="2276" w:type="dxa"/>
          </w:tcPr>
          <w:p w14:paraId="2FE6E34B" w14:textId="77777777" w:rsidR="00DA1AA2" w:rsidRPr="004B55F8"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highlight w:val="yellow"/>
              </w:rPr>
            </w:pPr>
            <w:r w:rsidRPr="004B55F8">
              <w:rPr>
                <w:rFonts w:asciiTheme="minorHAnsi" w:hAnsiTheme="minorHAnsi"/>
                <w:szCs w:val="20"/>
              </w:rPr>
              <w:t xml:space="preserve">% RD attesa </w:t>
            </w:r>
            <w:r w:rsidR="00661786" w:rsidRPr="004B55F8">
              <w:rPr>
                <w:rFonts w:asciiTheme="minorHAnsi" w:hAnsiTheme="minorHAnsi"/>
                <w:szCs w:val="20"/>
              </w:rPr>
              <w:t>2020</w:t>
            </w:r>
          </w:p>
        </w:tc>
      </w:tr>
      <w:tr w:rsidR="001246DE" w:rsidRPr="0034669D" w14:paraId="2739F988"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7472FB29" w14:textId="77777777" w:rsidR="001246DE" w:rsidRPr="004B55F8" w:rsidRDefault="001246DE" w:rsidP="001246DE">
            <w:pPr>
              <w:rPr>
                <w:rFonts w:asciiTheme="minorHAnsi" w:hAnsiTheme="minorHAnsi"/>
                <w:szCs w:val="20"/>
              </w:rPr>
            </w:pPr>
            <w:r w:rsidRPr="004B55F8">
              <w:rPr>
                <w:rFonts w:asciiTheme="minorHAnsi" w:hAnsiTheme="minorHAnsi"/>
                <w:szCs w:val="20"/>
              </w:rPr>
              <w:t>1</w:t>
            </w:r>
          </w:p>
        </w:tc>
        <w:tc>
          <w:tcPr>
            <w:tcW w:w="2275" w:type="dxa"/>
            <w:vAlign w:val="bottom"/>
          </w:tcPr>
          <w:p w14:paraId="7A1A5C7C"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Acceglio </w:t>
            </w:r>
          </w:p>
        </w:tc>
        <w:tc>
          <w:tcPr>
            <w:tcW w:w="2275" w:type="dxa"/>
            <w:vAlign w:val="bottom"/>
          </w:tcPr>
          <w:p w14:paraId="605B0658"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45%</w:t>
            </w:r>
          </w:p>
        </w:tc>
        <w:tc>
          <w:tcPr>
            <w:tcW w:w="2275" w:type="dxa"/>
            <w:vAlign w:val="bottom"/>
          </w:tcPr>
          <w:p w14:paraId="1F0F3D34"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43%</w:t>
            </w:r>
          </w:p>
        </w:tc>
        <w:tc>
          <w:tcPr>
            <w:tcW w:w="2276" w:type="dxa"/>
            <w:vAlign w:val="bottom"/>
          </w:tcPr>
          <w:p w14:paraId="26ABC89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43%</w:t>
            </w:r>
          </w:p>
        </w:tc>
      </w:tr>
      <w:tr w:rsidR="001246DE" w:rsidRPr="0034669D" w14:paraId="23177742"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7626993D" w14:textId="77777777" w:rsidR="001246DE" w:rsidRPr="004B55F8" w:rsidRDefault="001246DE" w:rsidP="001246DE">
            <w:pPr>
              <w:rPr>
                <w:rFonts w:asciiTheme="minorHAnsi" w:hAnsiTheme="minorHAnsi"/>
                <w:szCs w:val="20"/>
              </w:rPr>
            </w:pPr>
            <w:r w:rsidRPr="004B55F8">
              <w:rPr>
                <w:rFonts w:asciiTheme="minorHAnsi" w:hAnsiTheme="minorHAnsi"/>
                <w:szCs w:val="20"/>
              </w:rPr>
              <w:t>2</w:t>
            </w:r>
          </w:p>
        </w:tc>
        <w:tc>
          <w:tcPr>
            <w:tcW w:w="2275" w:type="dxa"/>
            <w:vAlign w:val="bottom"/>
          </w:tcPr>
          <w:p w14:paraId="41D1BA43"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Canosio </w:t>
            </w:r>
          </w:p>
        </w:tc>
        <w:tc>
          <w:tcPr>
            <w:tcW w:w="2275" w:type="dxa"/>
            <w:vAlign w:val="bottom"/>
          </w:tcPr>
          <w:p w14:paraId="25E374FB"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47%</w:t>
            </w:r>
          </w:p>
        </w:tc>
        <w:tc>
          <w:tcPr>
            <w:tcW w:w="2275" w:type="dxa"/>
            <w:vAlign w:val="bottom"/>
          </w:tcPr>
          <w:p w14:paraId="220B9674"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51%</w:t>
            </w:r>
          </w:p>
        </w:tc>
        <w:tc>
          <w:tcPr>
            <w:tcW w:w="2276" w:type="dxa"/>
            <w:vAlign w:val="bottom"/>
          </w:tcPr>
          <w:p w14:paraId="3197AEB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51%</w:t>
            </w:r>
          </w:p>
        </w:tc>
      </w:tr>
      <w:tr w:rsidR="001246DE" w:rsidRPr="0034669D" w14:paraId="615DFB6B"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5646D659" w14:textId="77777777" w:rsidR="001246DE" w:rsidRPr="004B55F8" w:rsidRDefault="001246DE" w:rsidP="001246DE">
            <w:pPr>
              <w:rPr>
                <w:rFonts w:asciiTheme="minorHAnsi" w:hAnsiTheme="minorHAnsi"/>
                <w:szCs w:val="20"/>
              </w:rPr>
            </w:pPr>
            <w:r w:rsidRPr="004B55F8">
              <w:rPr>
                <w:rFonts w:asciiTheme="minorHAnsi" w:hAnsiTheme="minorHAnsi"/>
                <w:szCs w:val="20"/>
              </w:rPr>
              <w:t>3</w:t>
            </w:r>
          </w:p>
        </w:tc>
        <w:tc>
          <w:tcPr>
            <w:tcW w:w="2275" w:type="dxa"/>
            <w:vAlign w:val="bottom"/>
          </w:tcPr>
          <w:p w14:paraId="7699F716"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Cartignano </w:t>
            </w:r>
          </w:p>
        </w:tc>
        <w:tc>
          <w:tcPr>
            <w:tcW w:w="2275" w:type="dxa"/>
            <w:vAlign w:val="bottom"/>
          </w:tcPr>
          <w:p w14:paraId="0BA8F045"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c>
          <w:tcPr>
            <w:tcW w:w="2275" w:type="dxa"/>
            <w:vAlign w:val="bottom"/>
          </w:tcPr>
          <w:p w14:paraId="6B16427B"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56%</w:t>
            </w:r>
          </w:p>
        </w:tc>
        <w:tc>
          <w:tcPr>
            <w:tcW w:w="2276" w:type="dxa"/>
            <w:vAlign w:val="bottom"/>
          </w:tcPr>
          <w:p w14:paraId="50016A75"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56%</w:t>
            </w:r>
          </w:p>
        </w:tc>
      </w:tr>
      <w:tr w:rsidR="001246DE" w:rsidRPr="0034669D" w14:paraId="5181549D"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6D832DCE" w14:textId="77777777" w:rsidR="001246DE" w:rsidRPr="004B55F8" w:rsidRDefault="001246DE" w:rsidP="001246DE">
            <w:pPr>
              <w:rPr>
                <w:rFonts w:asciiTheme="minorHAnsi" w:hAnsiTheme="minorHAnsi"/>
                <w:szCs w:val="20"/>
              </w:rPr>
            </w:pPr>
            <w:r w:rsidRPr="004B55F8">
              <w:rPr>
                <w:rFonts w:asciiTheme="minorHAnsi" w:hAnsiTheme="minorHAnsi"/>
                <w:szCs w:val="20"/>
              </w:rPr>
              <w:t>4</w:t>
            </w:r>
          </w:p>
        </w:tc>
        <w:tc>
          <w:tcPr>
            <w:tcW w:w="2275" w:type="dxa"/>
            <w:vAlign w:val="bottom"/>
          </w:tcPr>
          <w:p w14:paraId="5C81344A"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Castelmagno </w:t>
            </w:r>
          </w:p>
        </w:tc>
        <w:tc>
          <w:tcPr>
            <w:tcW w:w="2275" w:type="dxa"/>
            <w:vAlign w:val="bottom"/>
          </w:tcPr>
          <w:p w14:paraId="63BFEFD8"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48%</w:t>
            </w:r>
          </w:p>
        </w:tc>
        <w:tc>
          <w:tcPr>
            <w:tcW w:w="2275" w:type="dxa"/>
            <w:vAlign w:val="bottom"/>
          </w:tcPr>
          <w:p w14:paraId="5561201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48%</w:t>
            </w:r>
          </w:p>
        </w:tc>
        <w:tc>
          <w:tcPr>
            <w:tcW w:w="2276" w:type="dxa"/>
            <w:vAlign w:val="bottom"/>
          </w:tcPr>
          <w:p w14:paraId="0A17E38D"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48%</w:t>
            </w:r>
          </w:p>
        </w:tc>
      </w:tr>
      <w:tr w:rsidR="001246DE" w:rsidRPr="0034669D" w14:paraId="5D992F1B"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6997F44F" w14:textId="77777777" w:rsidR="001246DE" w:rsidRPr="004B55F8" w:rsidRDefault="001246DE" w:rsidP="001246DE">
            <w:pPr>
              <w:rPr>
                <w:rFonts w:asciiTheme="minorHAnsi" w:hAnsiTheme="minorHAnsi"/>
                <w:szCs w:val="20"/>
              </w:rPr>
            </w:pPr>
            <w:r w:rsidRPr="004B55F8">
              <w:rPr>
                <w:rFonts w:asciiTheme="minorHAnsi" w:hAnsiTheme="minorHAnsi"/>
                <w:szCs w:val="20"/>
              </w:rPr>
              <w:t>5</w:t>
            </w:r>
          </w:p>
        </w:tc>
        <w:tc>
          <w:tcPr>
            <w:tcW w:w="2275" w:type="dxa"/>
            <w:vAlign w:val="bottom"/>
          </w:tcPr>
          <w:p w14:paraId="05845C69"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Celle di Macra </w:t>
            </w:r>
          </w:p>
        </w:tc>
        <w:tc>
          <w:tcPr>
            <w:tcW w:w="2275" w:type="dxa"/>
            <w:vAlign w:val="bottom"/>
          </w:tcPr>
          <w:p w14:paraId="41D9D63A"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45%</w:t>
            </w:r>
          </w:p>
        </w:tc>
        <w:tc>
          <w:tcPr>
            <w:tcW w:w="2275" w:type="dxa"/>
            <w:vAlign w:val="bottom"/>
          </w:tcPr>
          <w:p w14:paraId="5CFC3DB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42%</w:t>
            </w:r>
          </w:p>
        </w:tc>
        <w:tc>
          <w:tcPr>
            <w:tcW w:w="2276" w:type="dxa"/>
            <w:vAlign w:val="bottom"/>
          </w:tcPr>
          <w:p w14:paraId="53D99796"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42%</w:t>
            </w:r>
          </w:p>
        </w:tc>
      </w:tr>
      <w:tr w:rsidR="001246DE" w:rsidRPr="0034669D" w14:paraId="28287716"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58B101F0" w14:textId="77777777" w:rsidR="001246DE" w:rsidRPr="004B55F8" w:rsidRDefault="001246DE" w:rsidP="001246DE">
            <w:pPr>
              <w:rPr>
                <w:rFonts w:asciiTheme="minorHAnsi" w:hAnsiTheme="minorHAnsi"/>
                <w:szCs w:val="20"/>
              </w:rPr>
            </w:pPr>
            <w:r w:rsidRPr="004B55F8">
              <w:rPr>
                <w:rFonts w:asciiTheme="minorHAnsi" w:hAnsiTheme="minorHAnsi"/>
                <w:szCs w:val="20"/>
              </w:rPr>
              <w:t>6</w:t>
            </w:r>
          </w:p>
        </w:tc>
        <w:tc>
          <w:tcPr>
            <w:tcW w:w="2275" w:type="dxa"/>
            <w:vAlign w:val="bottom"/>
          </w:tcPr>
          <w:p w14:paraId="19A439F1"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Elva </w:t>
            </w:r>
          </w:p>
        </w:tc>
        <w:tc>
          <w:tcPr>
            <w:tcW w:w="2275" w:type="dxa"/>
            <w:vAlign w:val="bottom"/>
          </w:tcPr>
          <w:p w14:paraId="4C4F9FA7"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49%</w:t>
            </w:r>
          </w:p>
        </w:tc>
        <w:tc>
          <w:tcPr>
            <w:tcW w:w="2275" w:type="dxa"/>
            <w:vAlign w:val="bottom"/>
          </w:tcPr>
          <w:p w14:paraId="25AC9FFD"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c>
          <w:tcPr>
            <w:tcW w:w="2276" w:type="dxa"/>
            <w:vAlign w:val="bottom"/>
          </w:tcPr>
          <w:p w14:paraId="6A8269F9"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r>
      <w:tr w:rsidR="001246DE" w:rsidRPr="0034669D" w14:paraId="6A2990FB"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336D439C" w14:textId="77777777" w:rsidR="001246DE" w:rsidRPr="004B55F8" w:rsidRDefault="001246DE" w:rsidP="001246DE">
            <w:pPr>
              <w:rPr>
                <w:rFonts w:asciiTheme="minorHAnsi" w:hAnsiTheme="minorHAnsi"/>
                <w:szCs w:val="20"/>
              </w:rPr>
            </w:pPr>
            <w:r w:rsidRPr="004B55F8">
              <w:rPr>
                <w:rFonts w:asciiTheme="minorHAnsi" w:hAnsiTheme="minorHAnsi"/>
                <w:szCs w:val="20"/>
              </w:rPr>
              <w:t>7</w:t>
            </w:r>
          </w:p>
        </w:tc>
        <w:tc>
          <w:tcPr>
            <w:tcW w:w="2275" w:type="dxa"/>
            <w:vAlign w:val="bottom"/>
          </w:tcPr>
          <w:p w14:paraId="01C78F7E"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Macra </w:t>
            </w:r>
          </w:p>
        </w:tc>
        <w:tc>
          <w:tcPr>
            <w:tcW w:w="2275" w:type="dxa"/>
            <w:vAlign w:val="bottom"/>
          </w:tcPr>
          <w:p w14:paraId="5FD883C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c>
          <w:tcPr>
            <w:tcW w:w="2275" w:type="dxa"/>
            <w:vAlign w:val="bottom"/>
          </w:tcPr>
          <w:p w14:paraId="104358B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50%</w:t>
            </w:r>
          </w:p>
        </w:tc>
        <w:tc>
          <w:tcPr>
            <w:tcW w:w="2276" w:type="dxa"/>
            <w:vAlign w:val="bottom"/>
          </w:tcPr>
          <w:p w14:paraId="02AE0CB1"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50%</w:t>
            </w:r>
          </w:p>
        </w:tc>
      </w:tr>
      <w:tr w:rsidR="001246DE" w:rsidRPr="0034669D" w14:paraId="53EFFEF7"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57ABCD3E" w14:textId="77777777" w:rsidR="001246DE" w:rsidRPr="004B55F8" w:rsidRDefault="001246DE" w:rsidP="001246DE">
            <w:pPr>
              <w:rPr>
                <w:rFonts w:asciiTheme="minorHAnsi" w:hAnsiTheme="minorHAnsi"/>
                <w:szCs w:val="20"/>
              </w:rPr>
            </w:pPr>
            <w:r w:rsidRPr="004B55F8">
              <w:rPr>
                <w:rFonts w:asciiTheme="minorHAnsi" w:hAnsiTheme="minorHAnsi"/>
                <w:szCs w:val="20"/>
              </w:rPr>
              <w:t>8</w:t>
            </w:r>
          </w:p>
        </w:tc>
        <w:tc>
          <w:tcPr>
            <w:tcW w:w="2275" w:type="dxa"/>
            <w:vAlign w:val="bottom"/>
          </w:tcPr>
          <w:p w14:paraId="74EDAF1E"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Marmora </w:t>
            </w:r>
          </w:p>
        </w:tc>
        <w:tc>
          <w:tcPr>
            <w:tcW w:w="2275" w:type="dxa"/>
            <w:vAlign w:val="bottom"/>
          </w:tcPr>
          <w:p w14:paraId="5D640BC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c>
          <w:tcPr>
            <w:tcW w:w="2275" w:type="dxa"/>
            <w:vAlign w:val="bottom"/>
          </w:tcPr>
          <w:p w14:paraId="6225CC0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41%</w:t>
            </w:r>
          </w:p>
        </w:tc>
        <w:tc>
          <w:tcPr>
            <w:tcW w:w="2276" w:type="dxa"/>
            <w:vAlign w:val="bottom"/>
          </w:tcPr>
          <w:p w14:paraId="5F121657"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41%</w:t>
            </w:r>
          </w:p>
        </w:tc>
      </w:tr>
      <w:tr w:rsidR="001246DE" w:rsidRPr="0034669D" w14:paraId="08233D2B"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39153122" w14:textId="77777777" w:rsidR="001246DE" w:rsidRPr="004B55F8" w:rsidRDefault="001246DE" w:rsidP="001246DE">
            <w:pPr>
              <w:rPr>
                <w:rFonts w:asciiTheme="minorHAnsi" w:hAnsiTheme="minorHAnsi"/>
                <w:szCs w:val="20"/>
              </w:rPr>
            </w:pPr>
            <w:r w:rsidRPr="004B55F8">
              <w:rPr>
                <w:rFonts w:asciiTheme="minorHAnsi" w:hAnsiTheme="minorHAnsi"/>
                <w:szCs w:val="20"/>
              </w:rPr>
              <w:t>9</w:t>
            </w:r>
          </w:p>
        </w:tc>
        <w:tc>
          <w:tcPr>
            <w:tcW w:w="2275" w:type="dxa"/>
            <w:vAlign w:val="bottom"/>
          </w:tcPr>
          <w:p w14:paraId="7D0AB24D"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Montemale </w:t>
            </w:r>
          </w:p>
        </w:tc>
        <w:tc>
          <w:tcPr>
            <w:tcW w:w="2275" w:type="dxa"/>
            <w:vAlign w:val="bottom"/>
          </w:tcPr>
          <w:p w14:paraId="1E6722B8"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40%</w:t>
            </w:r>
          </w:p>
        </w:tc>
        <w:tc>
          <w:tcPr>
            <w:tcW w:w="2275" w:type="dxa"/>
            <w:vAlign w:val="bottom"/>
          </w:tcPr>
          <w:p w14:paraId="75ABB24D"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c>
          <w:tcPr>
            <w:tcW w:w="2276" w:type="dxa"/>
            <w:vAlign w:val="bottom"/>
          </w:tcPr>
          <w:p w14:paraId="56E41C6C"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44%</w:t>
            </w:r>
          </w:p>
        </w:tc>
      </w:tr>
      <w:tr w:rsidR="001246DE" w:rsidRPr="0034669D" w14:paraId="3602B7C9"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4AEE5D9B" w14:textId="77777777" w:rsidR="001246DE" w:rsidRPr="004B55F8" w:rsidRDefault="001246DE" w:rsidP="001246DE">
            <w:pPr>
              <w:rPr>
                <w:rFonts w:asciiTheme="minorHAnsi" w:hAnsiTheme="minorHAnsi"/>
                <w:szCs w:val="20"/>
              </w:rPr>
            </w:pPr>
            <w:r w:rsidRPr="004B55F8">
              <w:rPr>
                <w:rFonts w:asciiTheme="minorHAnsi" w:hAnsiTheme="minorHAnsi"/>
                <w:szCs w:val="20"/>
              </w:rPr>
              <w:t>10</w:t>
            </w:r>
          </w:p>
        </w:tc>
        <w:tc>
          <w:tcPr>
            <w:tcW w:w="2275" w:type="dxa"/>
            <w:vAlign w:val="bottom"/>
          </w:tcPr>
          <w:p w14:paraId="3589EBFC"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Monterosso Grana </w:t>
            </w:r>
          </w:p>
        </w:tc>
        <w:tc>
          <w:tcPr>
            <w:tcW w:w="2275" w:type="dxa"/>
            <w:vAlign w:val="bottom"/>
          </w:tcPr>
          <w:p w14:paraId="072EF2E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35%</w:t>
            </w:r>
          </w:p>
        </w:tc>
        <w:tc>
          <w:tcPr>
            <w:tcW w:w="2275" w:type="dxa"/>
            <w:vAlign w:val="bottom"/>
          </w:tcPr>
          <w:p w14:paraId="2F28241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42%</w:t>
            </w:r>
          </w:p>
        </w:tc>
        <w:tc>
          <w:tcPr>
            <w:tcW w:w="2276" w:type="dxa"/>
            <w:vAlign w:val="bottom"/>
          </w:tcPr>
          <w:p w14:paraId="31FC457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42%</w:t>
            </w:r>
          </w:p>
        </w:tc>
      </w:tr>
      <w:tr w:rsidR="001246DE" w:rsidRPr="0034669D" w14:paraId="7960F419"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215158A9" w14:textId="77777777" w:rsidR="001246DE" w:rsidRPr="004B55F8" w:rsidRDefault="001246DE" w:rsidP="001246DE">
            <w:pPr>
              <w:rPr>
                <w:rFonts w:asciiTheme="minorHAnsi" w:hAnsiTheme="minorHAnsi"/>
                <w:b w:val="0"/>
                <w:bCs w:val="0"/>
                <w:szCs w:val="20"/>
              </w:rPr>
            </w:pPr>
            <w:r w:rsidRPr="004B55F8">
              <w:rPr>
                <w:rFonts w:asciiTheme="minorHAnsi" w:hAnsiTheme="minorHAnsi"/>
                <w:szCs w:val="20"/>
              </w:rPr>
              <w:t>11</w:t>
            </w:r>
          </w:p>
        </w:tc>
        <w:tc>
          <w:tcPr>
            <w:tcW w:w="2275" w:type="dxa"/>
            <w:vAlign w:val="bottom"/>
          </w:tcPr>
          <w:p w14:paraId="48C31F8A"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Arial"/>
                <w:szCs w:val="20"/>
              </w:rPr>
              <w:t xml:space="preserve"> Pradleves </w:t>
            </w:r>
          </w:p>
        </w:tc>
        <w:tc>
          <w:tcPr>
            <w:tcW w:w="2275" w:type="dxa"/>
            <w:vAlign w:val="bottom"/>
          </w:tcPr>
          <w:p w14:paraId="009DCA4D"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39%</w:t>
            </w:r>
          </w:p>
        </w:tc>
        <w:tc>
          <w:tcPr>
            <w:tcW w:w="2275" w:type="dxa"/>
            <w:vAlign w:val="bottom"/>
          </w:tcPr>
          <w:p w14:paraId="4066A54B"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43%</w:t>
            </w:r>
          </w:p>
        </w:tc>
        <w:tc>
          <w:tcPr>
            <w:tcW w:w="2276" w:type="dxa"/>
            <w:vAlign w:val="bottom"/>
          </w:tcPr>
          <w:p w14:paraId="3CE0065D"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Calibri"/>
                <w:color w:val="000000"/>
                <w:szCs w:val="20"/>
              </w:rPr>
              <w:t>43%</w:t>
            </w:r>
          </w:p>
        </w:tc>
      </w:tr>
      <w:tr w:rsidR="001246DE" w:rsidRPr="0034669D" w14:paraId="6371A6D9"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17816CE1" w14:textId="77777777" w:rsidR="001246DE" w:rsidRPr="004B55F8" w:rsidRDefault="001246DE" w:rsidP="001246DE">
            <w:pPr>
              <w:rPr>
                <w:rFonts w:asciiTheme="minorHAnsi" w:hAnsiTheme="minorHAnsi"/>
                <w:szCs w:val="20"/>
              </w:rPr>
            </w:pPr>
            <w:r w:rsidRPr="004B55F8">
              <w:rPr>
                <w:rFonts w:asciiTheme="minorHAnsi" w:hAnsiTheme="minorHAnsi"/>
                <w:szCs w:val="20"/>
              </w:rPr>
              <w:t>12</w:t>
            </w:r>
          </w:p>
        </w:tc>
        <w:tc>
          <w:tcPr>
            <w:tcW w:w="2275" w:type="dxa"/>
            <w:vAlign w:val="bottom"/>
          </w:tcPr>
          <w:p w14:paraId="5B3AA8B6"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Arial"/>
                <w:szCs w:val="20"/>
              </w:rPr>
              <w:t xml:space="preserve"> Prazzo </w:t>
            </w:r>
          </w:p>
        </w:tc>
        <w:tc>
          <w:tcPr>
            <w:tcW w:w="2275" w:type="dxa"/>
            <w:vAlign w:val="bottom"/>
          </w:tcPr>
          <w:p w14:paraId="7467381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47%</w:t>
            </w:r>
          </w:p>
        </w:tc>
        <w:tc>
          <w:tcPr>
            <w:tcW w:w="2275" w:type="dxa"/>
            <w:vAlign w:val="bottom"/>
          </w:tcPr>
          <w:p w14:paraId="36DEB7DF"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41%</w:t>
            </w:r>
          </w:p>
        </w:tc>
        <w:tc>
          <w:tcPr>
            <w:tcW w:w="2276" w:type="dxa"/>
            <w:vAlign w:val="bottom"/>
          </w:tcPr>
          <w:p w14:paraId="1940BBCF"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Calibri"/>
                <w:color w:val="000000"/>
                <w:szCs w:val="20"/>
              </w:rPr>
              <w:t>41%</w:t>
            </w:r>
          </w:p>
        </w:tc>
      </w:tr>
      <w:tr w:rsidR="001246DE" w:rsidRPr="0034669D" w14:paraId="6925B670"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1A1ACAF2" w14:textId="77777777" w:rsidR="001246DE" w:rsidRPr="004B55F8" w:rsidRDefault="001246DE" w:rsidP="001246DE">
            <w:pPr>
              <w:rPr>
                <w:rFonts w:asciiTheme="minorHAnsi" w:hAnsiTheme="minorHAnsi"/>
                <w:szCs w:val="20"/>
              </w:rPr>
            </w:pPr>
            <w:r w:rsidRPr="004B55F8">
              <w:rPr>
                <w:rFonts w:asciiTheme="minorHAnsi" w:hAnsiTheme="minorHAnsi"/>
                <w:szCs w:val="20"/>
              </w:rPr>
              <w:t>13</w:t>
            </w:r>
          </w:p>
        </w:tc>
        <w:tc>
          <w:tcPr>
            <w:tcW w:w="2275" w:type="dxa"/>
            <w:vAlign w:val="bottom"/>
          </w:tcPr>
          <w:p w14:paraId="10E85FE9"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Arial"/>
                <w:szCs w:val="20"/>
              </w:rPr>
              <w:t xml:space="preserve"> San Damiano Macra </w:t>
            </w:r>
          </w:p>
        </w:tc>
        <w:tc>
          <w:tcPr>
            <w:tcW w:w="2275" w:type="dxa"/>
            <w:vAlign w:val="bottom"/>
          </w:tcPr>
          <w:p w14:paraId="3DB437C0"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42%</w:t>
            </w:r>
          </w:p>
        </w:tc>
        <w:tc>
          <w:tcPr>
            <w:tcW w:w="2275" w:type="dxa"/>
            <w:vAlign w:val="bottom"/>
          </w:tcPr>
          <w:p w14:paraId="45CB8CE1"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52%</w:t>
            </w:r>
          </w:p>
        </w:tc>
        <w:tc>
          <w:tcPr>
            <w:tcW w:w="2276" w:type="dxa"/>
            <w:vAlign w:val="bottom"/>
          </w:tcPr>
          <w:p w14:paraId="2CE85C32"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Calibri"/>
                <w:color w:val="000000"/>
                <w:szCs w:val="20"/>
              </w:rPr>
              <w:t>52%</w:t>
            </w:r>
          </w:p>
        </w:tc>
      </w:tr>
      <w:tr w:rsidR="001246DE" w:rsidRPr="0034669D" w14:paraId="3A9D2063"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66D4E371" w14:textId="77777777" w:rsidR="001246DE" w:rsidRPr="004B55F8" w:rsidRDefault="001246DE" w:rsidP="001246DE">
            <w:pPr>
              <w:rPr>
                <w:rFonts w:asciiTheme="minorHAnsi" w:hAnsiTheme="minorHAnsi"/>
                <w:szCs w:val="20"/>
              </w:rPr>
            </w:pPr>
            <w:r w:rsidRPr="004B55F8">
              <w:rPr>
                <w:rFonts w:asciiTheme="minorHAnsi" w:hAnsiTheme="minorHAnsi"/>
                <w:szCs w:val="20"/>
              </w:rPr>
              <w:t>14</w:t>
            </w:r>
          </w:p>
        </w:tc>
        <w:tc>
          <w:tcPr>
            <w:tcW w:w="2275" w:type="dxa"/>
            <w:vAlign w:val="bottom"/>
          </w:tcPr>
          <w:p w14:paraId="10265074"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Arial"/>
                <w:szCs w:val="20"/>
              </w:rPr>
              <w:t xml:space="preserve"> Stroppo </w:t>
            </w:r>
          </w:p>
        </w:tc>
        <w:tc>
          <w:tcPr>
            <w:tcW w:w="2275" w:type="dxa"/>
            <w:vAlign w:val="bottom"/>
          </w:tcPr>
          <w:p w14:paraId="28E922EC"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41%</w:t>
            </w:r>
          </w:p>
        </w:tc>
        <w:tc>
          <w:tcPr>
            <w:tcW w:w="2275" w:type="dxa"/>
            <w:vAlign w:val="bottom"/>
          </w:tcPr>
          <w:p w14:paraId="12ED74BB"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40%</w:t>
            </w:r>
          </w:p>
        </w:tc>
        <w:tc>
          <w:tcPr>
            <w:tcW w:w="2276" w:type="dxa"/>
            <w:vAlign w:val="bottom"/>
          </w:tcPr>
          <w:p w14:paraId="3AA3D7D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Calibri"/>
                <w:color w:val="000000"/>
                <w:szCs w:val="20"/>
              </w:rPr>
              <w:t>40%</w:t>
            </w:r>
          </w:p>
        </w:tc>
      </w:tr>
      <w:tr w:rsidR="001246DE" w:rsidRPr="0034669D" w14:paraId="7BF32B99" w14:textId="77777777" w:rsidTr="00D042C9">
        <w:tc>
          <w:tcPr>
            <w:cnfStyle w:val="001000000000" w:firstRow="0" w:lastRow="0" w:firstColumn="1" w:lastColumn="0" w:oddVBand="0" w:evenVBand="0" w:oddHBand="0" w:evenHBand="0" w:firstRowFirstColumn="0" w:firstRowLastColumn="0" w:lastRowFirstColumn="0" w:lastRowLastColumn="0"/>
            <w:tcW w:w="419" w:type="dxa"/>
          </w:tcPr>
          <w:p w14:paraId="38F04D68" w14:textId="77777777" w:rsidR="001246DE" w:rsidRPr="004B55F8" w:rsidRDefault="001246DE" w:rsidP="001246DE">
            <w:pPr>
              <w:rPr>
                <w:rFonts w:asciiTheme="minorHAnsi" w:hAnsiTheme="minorHAnsi"/>
                <w:szCs w:val="20"/>
              </w:rPr>
            </w:pPr>
            <w:r w:rsidRPr="004B55F8">
              <w:rPr>
                <w:rFonts w:asciiTheme="minorHAnsi" w:hAnsiTheme="minorHAnsi"/>
                <w:szCs w:val="20"/>
              </w:rPr>
              <w:t>15</w:t>
            </w:r>
          </w:p>
        </w:tc>
        <w:tc>
          <w:tcPr>
            <w:tcW w:w="2275" w:type="dxa"/>
            <w:vAlign w:val="bottom"/>
          </w:tcPr>
          <w:p w14:paraId="75D667A5" w14:textId="77777777" w:rsidR="001246DE" w:rsidRPr="004B55F8" w:rsidRDefault="001246DE" w:rsidP="001246DE">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Arial"/>
                <w:szCs w:val="20"/>
              </w:rPr>
              <w:t xml:space="preserve"> Valgrana </w:t>
            </w:r>
          </w:p>
        </w:tc>
        <w:tc>
          <w:tcPr>
            <w:tcW w:w="2275" w:type="dxa"/>
            <w:vAlign w:val="bottom"/>
          </w:tcPr>
          <w:p w14:paraId="3D530F1E"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39%</w:t>
            </w:r>
          </w:p>
        </w:tc>
        <w:tc>
          <w:tcPr>
            <w:tcW w:w="2275" w:type="dxa"/>
            <w:vAlign w:val="bottom"/>
          </w:tcPr>
          <w:p w14:paraId="3677B436"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44%</w:t>
            </w:r>
          </w:p>
        </w:tc>
        <w:tc>
          <w:tcPr>
            <w:tcW w:w="2276" w:type="dxa"/>
            <w:vAlign w:val="bottom"/>
          </w:tcPr>
          <w:p w14:paraId="29494BF1" w14:textId="77777777" w:rsidR="001246DE" w:rsidRPr="004B55F8" w:rsidRDefault="001246DE" w:rsidP="001246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20"/>
              </w:rPr>
            </w:pPr>
            <w:r w:rsidRPr="004B55F8">
              <w:rPr>
                <w:rFonts w:asciiTheme="minorHAnsi" w:hAnsiTheme="minorHAnsi" w:cs="Calibri"/>
                <w:color w:val="000000"/>
                <w:szCs w:val="20"/>
              </w:rPr>
              <w:t>44%</w:t>
            </w:r>
          </w:p>
        </w:tc>
      </w:tr>
    </w:tbl>
    <w:p w14:paraId="3ADC7EA0" w14:textId="77777777" w:rsidR="00DA1AA2" w:rsidRPr="0034669D" w:rsidRDefault="00DA1AA2" w:rsidP="00FF6A01">
      <w:pPr>
        <w:pStyle w:val="Corpotesto"/>
        <w:rPr>
          <w:rFonts w:asciiTheme="minorHAnsi" w:eastAsia="Times New Roman" w:hAnsiTheme="minorHAnsi"/>
          <w:sz w:val="24"/>
          <w:szCs w:val="24"/>
          <w:highlight w:val="yellow"/>
          <w:lang w:val="it-IT" w:eastAsia="it-IT"/>
        </w:rPr>
      </w:pPr>
    </w:p>
    <w:p w14:paraId="37F28549" w14:textId="77777777" w:rsidR="00B111E9" w:rsidRDefault="00B111E9" w:rsidP="00B111E9">
      <w:pPr>
        <w:pStyle w:val="Corpotesto"/>
        <w:rPr>
          <w:rFonts w:asciiTheme="minorHAnsi" w:eastAsia="Times New Roman" w:hAnsiTheme="minorHAnsi"/>
          <w:bCs/>
          <w:lang w:val="it-IT" w:eastAsia="it-IT"/>
        </w:rPr>
      </w:pPr>
      <w:bookmarkStart w:id="14" w:name="_Toc45528371"/>
      <w:r w:rsidRPr="00266125">
        <w:rPr>
          <w:rFonts w:asciiTheme="minorHAnsi" w:eastAsia="Times New Roman" w:hAnsiTheme="minorHAnsi"/>
          <w:bCs/>
          <w:lang w:val="it-IT" w:eastAsia="it-IT"/>
        </w:rPr>
        <w:t>Non sono state svolte analisi merceologiche volte specificamente per ogni Comune al fine di conoscere le impurità a bocca di impianto.</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Le uniche valorizzazioni di tale aspetto sono svolte dagli impianti in house dei Comuni, per quanto riguarda l’ingresso di talune tipologie, mentre, a livello consortile sono solo presenti le analisi merceologiche effettuate secondo gli accordi Conai vigenti.</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 xml:space="preserve">Per tale motivo non è possibile stabilire, ad oggi, in maniera puntuale l'efficacia dell'attività di preparazione per il riutilizzo e riciclo da parte di ogni Comune. </w:t>
      </w:r>
    </w:p>
    <w:p w14:paraId="6DF00E18" w14:textId="77777777" w:rsidR="00B111E9" w:rsidRPr="00266125" w:rsidRDefault="00B111E9" w:rsidP="00B111E9">
      <w:pPr>
        <w:pStyle w:val="Corpotesto"/>
        <w:rPr>
          <w:rFonts w:asciiTheme="minorHAnsi" w:hAnsiTheme="minorHAnsi"/>
          <w:bCs/>
          <w:lang w:val="it-IT"/>
        </w:rPr>
      </w:pPr>
      <w:r w:rsidRPr="00266125">
        <w:rPr>
          <w:rFonts w:asciiTheme="minorHAnsi" w:eastAsia="Times New Roman" w:hAnsiTheme="minorHAnsi"/>
          <w:bCs/>
          <w:lang w:val="it-IT" w:eastAsia="it-IT"/>
        </w:rPr>
        <w:t>Ad oggi l’unica misurazione del grado di soddisfazione degli utenti del servizio dipende dal gestore dei servizi dei rapporti con gli utenti, il Consorzio Ecologico Cuneese che analizza il numero ed il tipo di reclami ricevuti sulla base sia della loro frequenza sia del confronto con gli anni precedenti (vedasi per es. la percentuale delle mancate raccolte/ritiri su prenotazione)</w:t>
      </w:r>
      <w:r>
        <w:rPr>
          <w:rFonts w:asciiTheme="minorHAnsi" w:eastAsia="Times New Roman" w:hAnsiTheme="minorHAnsi"/>
          <w:bCs/>
          <w:lang w:val="it-IT" w:eastAsia="it-IT"/>
        </w:rPr>
        <w:t>. N</w:t>
      </w:r>
      <w:r w:rsidRPr="00266125">
        <w:rPr>
          <w:rFonts w:asciiTheme="minorHAnsi" w:eastAsia="Times New Roman" w:hAnsiTheme="minorHAnsi"/>
          <w:bCs/>
          <w:lang w:val="it-IT" w:eastAsia="it-IT"/>
        </w:rPr>
        <w:t>on è ancora stata svolta una vera e propria attività per acquisire la valutazione degli utenti sulla qualità del servizio erogato (questionari, interviste telefoniche, ecc.), pertanto i risultati di tali rilevazioni saranno rese note quando disponibili.</w:t>
      </w:r>
    </w:p>
    <w:p w14:paraId="2D59A0FC" w14:textId="77777777" w:rsidR="00FF6A01" w:rsidRPr="0034669D" w:rsidRDefault="00FC3013" w:rsidP="00C97FE5">
      <w:pPr>
        <w:pStyle w:val="Titolo3"/>
      </w:pPr>
      <w:r w:rsidRPr="0034669D">
        <w:lastRenderedPageBreak/>
        <w:t>Fonti di finanziamento</w:t>
      </w:r>
      <w:bookmarkEnd w:id="14"/>
    </w:p>
    <w:p w14:paraId="6281BD89" w14:textId="77777777" w:rsidR="006A5C41" w:rsidRPr="00DD205A" w:rsidRDefault="00C11EBD" w:rsidP="00CC09E4">
      <w:pPr>
        <w:rPr>
          <w:rFonts w:asciiTheme="minorHAnsi" w:hAnsiTheme="minorHAnsi"/>
        </w:rPr>
      </w:pPr>
      <w:r w:rsidRPr="00D0367A">
        <w:rPr>
          <w:rFonts w:asciiTheme="minorHAnsi" w:hAnsiTheme="minorHAnsi"/>
        </w:rPr>
        <w:t>Nella successiva tabella vengono elencate le fonti d</w:t>
      </w:r>
      <w:r w:rsidRPr="00DD205A">
        <w:rPr>
          <w:rFonts w:asciiTheme="minorHAnsi" w:hAnsiTheme="minorHAnsi"/>
        </w:rPr>
        <w:t xml:space="preserve">i finanziamento </w:t>
      </w:r>
      <w:r w:rsidR="0072379A" w:rsidRPr="00DD205A">
        <w:rPr>
          <w:rFonts w:asciiTheme="minorHAnsi" w:hAnsiTheme="minorHAnsi"/>
        </w:rPr>
        <w:t>del</w:t>
      </w:r>
      <w:r w:rsidR="00681C09" w:rsidRPr="00DD205A">
        <w:rPr>
          <w:rFonts w:asciiTheme="minorHAnsi" w:hAnsiTheme="minorHAnsi"/>
        </w:rPr>
        <w:t xml:space="preserve"> </w:t>
      </w:r>
      <w:r w:rsidR="00422103" w:rsidRPr="00DD205A">
        <w:rPr>
          <w:rFonts w:asciiTheme="minorHAnsi" w:hAnsiTheme="minorHAnsi"/>
        </w:rPr>
        <w:t>CEC</w:t>
      </w:r>
      <w:r w:rsidRPr="00DD205A">
        <w:rPr>
          <w:rFonts w:asciiTheme="minorHAnsi" w:hAnsiTheme="minorHAnsi"/>
        </w:rPr>
        <w:t>, evidenzia</w:t>
      </w:r>
      <w:r w:rsidR="00292926" w:rsidRPr="00DD205A">
        <w:rPr>
          <w:rFonts w:asciiTheme="minorHAnsi" w:hAnsiTheme="minorHAnsi"/>
        </w:rPr>
        <w:t>ndo le modifiche significative rispetto agli anni precedenti.</w:t>
      </w:r>
      <w:r w:rsidRPr="00DD205A">
        <w:rPr>
          <w:rFonts w:asciiTheme="minorHAnsi" w:hAnsiTheme="minorHAnsi"/>
        </w:rPr>
        <w:t xml:space="preserve"> </w:t>
      </w:r>
    </w:p>
    <w:p w14:paraId="26511061" w14:textId="77777777" w:rsidR="00292926" w:rsidRPr="00DD205A" w:rsidRDefault="00E0319D" w:rsidP="00E0319D">
      <w:pPr>
        <w:pStyle w:val="Didascalia"/>
        <w:rPr>
          <w:rFonts w:asciiTheme="minorHAnsi" w:hAnsiTheme="minorHAnsi"/>
        </w:rPr>
      </w:pPr>
      <w:r w:rsidRPr="00DD205A">
        <w:t xml:space="preserve">Tabella </w:t>
      </w:r>
      <w:r w:rsidR="00583CE5" w:rsidRPr="00DD205A">
        <w:rPr>
          <w:noProof/>
        </w:rPr>
        <w:fldChar w:fldCharType="begin"/>
      </w:r>
      <w:r w:rsidR="00583CE5" w:rsidRPr="00DD205A">
        <w:rPr>
          <w:noProof/>
        </w:rPr>
        <w:instrText xml:space="preserve"> SEQ Tabella \* ARABIC </w:instrText>
      </w:r>
      <w:r w:rsidR="00583CE5" w:rsidRPr="00DD205A">
        <w:rPr>
          <w:noProof/>
        </w:rPr>
        <w:fldChar w:fldCharType="separate"/>
      </w:r>
      <w:r w:rsidR="00ED351E" w:rsidRPr="00DD205A">
        <w:rPr>
          <w:noProof/>
        </w:rPr>
        <w:t>3</w:t>
      </w:r>
      <w:r w:rsidR="00583CE5" w:rsidRPr="00DD205A">
        <w:rPr>
          <w:noProof/>
        </w:rPr>
        <w:fldChar w:fldCharType="end"/>
      </w:r>
      <w:r w:rsidRPr="00DD205A">
        <w:t xml:space="preserve"> Fonti di finanziamento</w:t>
      </w:r>
    </w:p>
    <w:tbl>
      <w:tblPr>
        <w:tblStyle w:val="Tabellagriglia1chiara-colore11"/>
        <w:tblW w:w="9526" w:type="dxa"/>
        <w:tblInd w:w="108" w:type="dxa"/>
        <w:tblLook w:val="04A0" w:firstRow="1" w:lastRow="0" w:firstColumn="1" w:lastColumn="0" w:noHBand="0" w:noVBand="1"/>
      </w:tblPr>
      <w:tblGrid>
        <w:gridCol w:w="3261"/>
        <w:gridCol w:w="2521"/>
        <w:gridCol w:w="1872"/>
        <w:gridCol w:w="1872"/>
      </w:tblGrid>
      <w:tr w:rsidR="00292926" w:rsidRPr="00DD205A" w14:paraId="72F77738" w14:textId="77777777" w:rsidTr="00C245BB">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61" w:type="dxa"/>
          </w:tcPr>
          <w:p w14:paraId="0EEE2A64" w14:textId="77777777" w:rsidR="00292926" w:rsidRPr="00DD205A" w:rsidRDefault="00292926" w:rsidP="00CC09E4">
            <w:pPr>
              <w:rPr>
                <w:rFonts w:asciiTheme="minorHAnsi" w:hAnsiTheme="minorHAnsi"/>
              </w:rPr>
            </w:pPr>
            <w:r w:rsidRPr="00DD205A">
              <w:rPr>
                <w:rFonts w:asciiTheme="minorHAnsi" w:hAnsiTheme="minorHAnsi"/>
              </w:rPr>
              <w:t>Fonte</w:t>
            </w:r>
          </w:p>
        </w:tc>
        <w:tc>
          <w:tcPr>
            <w:tcW w:w="2521" w:type="dxa"/>
          </w:tcPr>
          <w:p w14:paraId="61DCE6F0" w14:textId="77777777" w:rsidR="00292926" w:rsidRPr="00DD205A" w:rsidRDefault="00292926" w:rsidP="00CC09E4">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Attività di finanziamento</w:t>
            </w:r>
          </w:p>
        </w:tc>
        <w:tc>
          <w:tcPr>
            <w:tcW w:w="1872" w:type="dxa"/>
          </w:tcPr>
          <w:p w14:paraId="72947042"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2018</w:t>
            </w:r>
          </w:p>
        </w:tc>
        <w:tc>
          <w:tcPr>
            <w:tcW w:w="1872" w:type="dxa"/>
          </w:tcPr>
          <w:p w14:paraId="43A38378"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2019</w:t>
            </w:r>
          </w:p>
        </w:tc>
      </w:tr>
      <w:tr w:rsidR="00C0236B" w:rsidRPr="00DD205A" w14:paraId="229D1EB4"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1AA59D60"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Capitale sociale</w:t>
            </w:r>
          </w:p>
        </w:tc>
        <w:tc>
          <w:tcPr>
            <w:tcW w:w="2521" w:type="dxa"/>
          </w:tcPr>
          <w:p w14:paraId="5E93336E"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5028EEB5"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c>
          <w:tcPr>
            <w:tcW w:w="1872" w:type="dxa"/>
          </w:tcPr>
          <w:p w14:paraId="4D5A773C"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r>
      <w:tr w:rsidR="00C0236B" w:rsidRPr="00DD205A" w14:paraId="5A4D89CC"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00AF9412"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Riserva legale</w:t>
            </w:r>
          </w:p>
        </w:tc>
        <w:tc>
          <w:tcPr>
            <w:tcW w:w="2521" w:type="dxa"/>
          </w:tcPr>
          <w:p w14:paraId="6AD01E40"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4D25616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42.829</w:t>
            </w:r>
          </w:p>
        </w:tc>
        <w:tc>
          <w:tcPr>
            <w:tcW w:w="1872" w:type="dxa"/>
          </w:tcPr>
          <w:p w14:paraId="2E1798CC"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43.057</w:t>
            </w:r>
          </w:p>
        </w:tc>
      </w:tr>
      <w:tr w:rsidR="00C0236B" w:rsidRPr="00DD205A" w14:paraId="6A63FA9F"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6BAC4015"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Altre riserve</w:t>
            </w:r>
          </w:p>
        </w:tc>
        <w:tc>
          <w:tcPr>
            <w:tcW w:w="2521" w:type="dxa"/>
          </w:tcPr>
          <w:p w14:paraId="4A2351D3"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4806F095"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154.372</w:t>
            </w:r>
          </w:p>
        </w:tc>
        <w:tc>
          <w:tcPr>
            <w:tcW w:w="1872" w:type="dxa"/>
          </w:tcPr>
          <w:p w14:paraId="4D48514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158.696</w:t>
            </w:r>
          </w:p>
        </w:tc>
      </w:tr>
      <w:tr w:rsidR="00C0236B" w:rsidRPr="00DD205A" w14:paraId="3562DB70"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18928513"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Utile (perdita) dell'esercizio</w:t>
            </w:r>
          </w:p>
        </w:tc>
        <w:tc>
          <w:tcPr>
            <w:tcW w:w="2521" w:type="dxa"/>
          </w:tcPr>
          <w:p w14:paraId="4807DF2D"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7109A0C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4.551</w:t>
            </w:r>
          </w:p>
        </w:tc>
        <w:tc>
          <w:tcPr>
            <w:tcW w:w="1872" w:type="dxa"/>
          </w:tcPr>
          <w:p w14:paraId="196AE86A"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29.024</w:t>
            </w:r>
          </w:p>
        </w:tc>
      </w:tr>
      <w:tr w:rsidR="00C0236B" w:rsidRPr="0034669D" w14:paraId="249BA48F"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2C89229E" w14:textId="77777777" w:rsidR="00C0236B" w:rsidRPr="00DD205A" w:rsidRDefault="00C0236B" w:rsidP="00C0236B">
            <w:pPr>
              <w:rPr>
                <w:rFonts w:asciiTheme="minorHAnsi" w:hAnsiTheme="minorHAnsi"/>
                <w:b w:val="0"/>
                <w:bCs w:val="0"/>
              </w:rPr>
            </w:pPr>
            <w:r w:rsidRPr="00DD205A">
              <w:rPr>
                <w:rFonts w:asciiTheme="minorHAnsi" w:hAnsiTheme="minorHAnsi"/>
                <w:bCs w:val="0"/>
              </w:rPr>
              <w:t>Totale mezzi propri</w:t>
            </w:r>
          </w:p>
        </w:tc>
        <w:tc>
          <w:tcPr>
            <w:tcW w:w="2521" w:type="dxa"/>
          </w:tcPr>
          <w:p w14:paraId="2401D374"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Euro</w:t>
            </w:r>
          </w:p>
        </w:tc>
        <w:tc>
          <w:tcPr>
            <w:tcW w:w="1872" w:type="dxa"/>
          </w:tcPr>
          <w:p w14:paraId="7519CAA0"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701.752</w:t>
            </w:r>
          </w:p>
        </w:tc>
        <w:tc>
          <w:tcPr>
            <w:tcW w:w="1872" w:type="dxa"/>
          </w:tcPr>
          <w:p w14:paraId="797F52E2"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730.777</w:t>
            </w:r>
          </w:p>
        </w:tc>
      </w:tr>
      <w:tr w:rsidR="00C0236B" w:rsidRPr="0034669D" w14:paraId="2A2E4B90" w14:textId="77777777" w:rsidTr="00C245BB">
        <w:trPr>
          <w:trHeight w:val="200"/>
        </w:trPr>
        <w:tc>
          <w:tcPr>
            <w:cnfStyle w:val="001000000000" w:firstRow="0" w:lastRow="0" w:firstColumn="1" w:lastColumn="0" w:oddVBand="0" w:evenVBand="0" w:oddHBand="0" w:evenHBand="0" w:firstRowFirstColumn="0" w:firstRowLastColumn="0" w:lastRowFirstColumn="0" w:lastRowLastColumn="0"/>
            <w:tcW w:w="3261" w:type="dxa"/>
          </w:tcPr>
          <w:p w14:paraId="0204D08E" w14:textId="77777777" w:rsidR="00C0236B" w:rsidRPr="0034669D" w:rsidRDefault="00C0236B" w:rsidP="00C0236B">
            <w:pPr>
              <w:rPr>
                <w:rFonts w:asciiTheme="minorHAnsi" w:hAnsiTheme="minorHAnsi"/>
                <w:b w:val="0"/>
                <w:bCs w:val="0"/>
              </w:rPr>
            </w:pPr>
          </w:p>
        </w:tc>
        <w:tc>
          <w:tcPr>
            <w:tcW w:w="2521" w:type="dxa"/>
          </w:tcPr>
          <w:p w14:paraId="0DC17975"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525D34E1"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5CC26F22"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C0236B" w:rsidRPr="0034669D" w14:paraId="6744366A"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4D158F7B" w14:textId="77777777" w:rsidR="00C0236B" w:rsidRPr="0034669D" w:rsidRDefault="00C0236B" w:rsidP="00C0236B">
            <w:pPr>
              <w:rPr>
                <w:rFonts w:asciiTheme="minorHAnsi" w:hAnsiTheme="minorHAnsi"/>
                <w:b w:val="0"/>
                <w:bCs w:val="0"/>
              </w:rPr>
            </w:pPr>
            <w:r w:rsidRPr="008907A3">
              <w:rPr>
                <w:rFonts w:asciiTheme="minorHAnsi" w:hAnsiTheme="minorHAnsi"/>
                <w:bCs w:val="0"/>
              </w:rPr>
              <w:t>Mezzi di terzi – debiti verso il sistema bancario ed altri finanziatori</w:t>
            </w:r>
            <w:r w:rsidRPr="008907A3">
              <w:rPr>
                <w:rFonts w:asciiTheme="minorHAnsi" w:hAnsiTheme="minorHAnsi"/>
                <w:bCs w:val="0"/>
              </w:rPr>
              <w:tab/>
            </w:r>
          </w:p>
        </w:tc>
        <w:tc>
          <w:tcPr>
            <w:tcW w:w="2521" w:type="dxa"/>
          </w:tcPr>
          <w:p w14:paraId="4F2E360D"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907A3">
              <w:rPr>
                <w:rFonts w:asciiTheme="minorHAnsi" w:hAnsiTheme="minorHAnsi"/>
                <w:b/>
              </w:rPr>
              <w:t>Euro</w:t>
            </w:r>
          </w:p>
        </w:tc>
        <w:tc>
          <w:tcPr>
            <w:tcW w:w="1872" w:type="dxa"/>
          </w:tcPr>
          <w:p w14:paraId="3ADC7ECB"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c>
          <w:tcPr>
            <w:tcW w:w="1872" w:type="dxa"/>
          </w:tcPr>
          <w:p w14:paraId="37F90511"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r>
    </w:tbl>
    <w:p w14:paraId="3EE86729" w14:textId="77777777" w:rsidR="00FF6A01" w:rsidRDefault="006A5C41" w:rsidP="00FF6A01">
      <w:pPr>
        <w:rPr>
          <w:rFonts w:asciiTheme="minorHAnsi" w:hAnsiTheme="minorHAnsi"/>
        </w:rPr>
      </w:pPr>
      <w:r w:rsidRPr="00D0367A">
        <w:rPr>
          <w:rFonts w:asciiTheme="minorHAnsi" w:hAnsiTheme="minorHAnsi"/>
        </w:rPr>
        <w:t>Per quanto</w:t>
      </w:r>
      <w:r w:rsidR="00C11EBD" w:rsidRPr="00D0367A">
        <w:rPr>
          <w:rFonts w:asciiTheme="minorHAnsi" w:hAnsiTheme="minorHAnsi"/>
        </w:rPr>
        <w:t xml:space="preserve"> non</w:t>
      </w:r>
      <w:r w:rsidRPr="00D0367A">
        <w:rPr>
          <w:rFonts w:asciiTheme="minorHAnsi" w:hAnsiTheme="minorHAnsi"/>
        </w:rPr>
        <w:t xml:space="preserve"> espressamente indicato nella presente sezione si rimanda alla Nota </w:t>
      </w:r>
      <w:r w:rsidR="00806E6E">
        <w:rPr>
          <w:rFonts w:asciiTheme="minorHAnsi" w:hAnsiTheme="minorHAnsi"/>
        </w:rPr>
        <w:t>Integrativa</w:t>
      </w:r>
      <w:r w:rsidRPr="00D0367A">
        <w:rPr>
          <w:rFonts w:asciiTheme="minorHAnsi" w:hAnsiTheme="minorHAnsi"/>
        </w:rPr>
        <w:t xml:space="preserve"> relativa al Bilancio d’esercizio 2018 fornit</w:t>
      </w:r>
      <w:r w:rsidR="00E450FF" w:rsidRPr="00D0367A">
        <w:rPr>
          <w:rFonts w:asciiTheme="minorHAnsi" w:hAnsiTheme="minorHAnsi"/>
        </w:rPr>
        <w:t>a</w:t>
      </w:r>
      <w:r w:rsidRPr="00D0367A">
        <w:rPr>
          <w:rFonts w:asciiTheme="minorHAnsi" w:hAnsiTheme="minorHAnsi"/>
        </w:rPr>
        <w:t xml:space="preserve"> in allegato alla presente relazione.</w:t>
      </w:r>
    </w:p>
    <w:p w14:paraId="74CA63E3" w14:textId="77777777" w:rsidR="00681C09" w:rsidRPr="0034669D" w:rsidRDefault="00681C09" w:rsidP="00FF6A01">
      <w:pPr>
        <w:rPr>
          <w:rFonts w:asciiTheme="minorHAnsi" w:hAnsiTheme="minorHAnsi"/>
        </w:rPr>
      </w:pPr>
    </w:p>
    <w:p w14:paraId="1366ED0F" w14:textId="77777777" w:rsidR="001A2E02" w:rsidRPr="0034669D" w:rsidRDefault="00C01382" w:rsidP="003F0BF9">
      <w:pPr>
        <w:pStyle w:val="Titolo2"/>
      </w:pPr>
      <w:bookmarkStart w:id="15" w:name="_Toc45528372"/>
      <w:r w:rsidRPr="0034669D">
        <w:t xml:space="preserve">Dati </w:t>
      </w:r>
      <w:r w:rsidR="00EF2D6E" w:rsidRPr="0034669D">
        <w:t xml:space="preserve">per la determinazione delle </w:t>
      </w:r>
      <w:r w:rsidR="000A4113" w:rsidRPr="0034669D">
        <w:t>e</w:t>
      </w:r>
      <w:r w:rsidR="00EF2D6E" w:rsidRPr="0034669D">
        <w:t>ntrate di riferimento</w:t>
      </w:r>
      <w:bookmarkEnd w:id="15"/>
    </w:p>
    <w:p w14:paraId="6EA11A02" w14:textId="77777777" w:rsidR="009F776B" w:rsidRPr="00D0367A" w:rsidRDefault="009F776B" w:rsidP="00EF2D6E">
      <w:pPr>
        <w:rPr>
          <w:rFonts w:asciiTheme="minorHAnsi" w:hAnsiTheme="minorHAnsi"/>
          <w:lang w:eastAsia="en-GB"/>
        </w:rPr>
      </w:pPr>
      <w:r w:rsidRPr="00D0367A">
        <w:rPr>
          <w:rFonts w:asciiTheme="minorHAnsi" w:hAnsiTheme="minorHAnsi"/>
          <w:lang w:eastAsia="en-GB"/>
        </w:rPr>
        <w:t>Alla presente relazione viene allegato il PEF redatto in conformità al modello</w:t>
      </w:r>
      <w:r w:rsidR="00857DED" w:rsidRPr="00D0367A">
        <w:rPr>
          <w:rFonts w:asciiTheme="minorHAnsi" w:hAnsiTheme="minorHAnsi"/>
          <w:lang w:eastAsia="en-GB"/>
        </w:rPr>
        <w:t xml:space="preserve"> fornito </w:t>
      </w:r>
      <w:r w:rsidR="00857DED" w:rsidRPr="00D0367A">
        <w:rPr>
          <w:rFonts w:asciiTheme="minorHAnsi" w:hAnsiTheme="minorHAnsi"/>
        </w:rPr>
        <w:t>all’Appendice 1 della deliberazione 443/2019/R/</w:t>
      </w:r>
      <w:r w:rsidR="00857DED" w:rsidRPr="00D0367A">
        <w:rPr>
          <w:rFonts w:asciiTheme="minorHAnsi" w:hAnsiTheme="minorHAnsi"/>
          <w:smallCaps/>
        </w:rPr>
        <w:t>rif,</w:t>
      </w:r>
      <w:r w:rsidRPr="00D0367A">
        <w:rPr>
          <w:rFonts w:asciiTheme="minorHAnsi" w:hAnsiTheme="minorHAnsi"/>
          <w:lang w:eastAsia="en-GB"/>
        </w:rPr>
        <w:t xml:space="preserve"> </w:t>
      </w:r>
      <w:r w:rsidR="007904DD">
        <w:rPr>
          <w:rFonts w:asciiTheme="minorHAnsi" w:hAnsiTheme="minorHAnsi"/>
          <w:lang w:eastAsia="en-GB"/>
        </w:rPr>
        <w:t xml:space="preserve">come modificato dalla Determina 02/DRIF/2020 Allegato 1, </w:t>
      </w:r>
      <w:r w:rsidRPr="00D0367A">
        <w:rPr>
          <w:rFonts w:asciiTheme="minorHAnsi" w:hAnsiTheme="minorHAnsi"/>
          <w:lang w:eastAsia="en-GB"/>
        </w:rPr>
        <w:t>il quale sintetizza tutte le informazioni e i dati rilevanti ai fini dell</w:t>
      </w:r>
      <w:r w:rsidR="00857DED" w:rsidRPr="00D0367A">
        <w:rPr>
          <w:rFonts w:asciiTheme="minorHAnsi" w:hAnsiTheme="minorHAnsi"/>
          <w:lang w:eastAsia="en-GB"/>
        </w:rPr>
        <w:t>a</w:t>
      </w:r>
      <w:r w:rsidRPr="00D0367A">
        <w:rPr>
          <w:rFonts w:asciiTheme="minorHAnsi" w:hAnsiTheme="minorHAnsi"/>
          <w:lang w:eastAsia="en-GB"/>
        </w:rPr>
        <w:t xml:space="preserve"> determinazion</w:t>
      </w:r>
      <w:r w:rsidR="00857DED" w:rsidRPr="00D0367A">
        <w:rPr>
          <w:rFonts w:asciiTheme="minorHAnsi" w:hAnsiTheme="minorHAnsi"/>
          <w:lang w:eastAsia="en-GB"/>
        </w:rPr>
        <w:t>e</w:t>
      </w:r>
      <w:r w:rsidRPr="00D0367A">
        <w:rPr>
          <w:rFonts w:asciiTheme="minorHAnsi" w:hAnsiTheme="minorHAnsi"/>
          <w:lang w:eastAsia="en-GB"/>
        </w:rPr>
        <w:t xml:space="preserve"> delle entrate tariffarie relative a</w:t>
      </w:r>
      <w:r w:rsidR="00572EFF" w:rsidRPr="00D0367A">
        <w:rPr>
          <w:rFonts w:asciiTheme="minorHAnsi" w:hAnsiTheme="minorHAnsi"/>
          <w:lang w:eastAsia="en-GB"/>
        </w:rPr>
        <w:t>ll’</w:t>
      </w:r>
      <w:r w:rsidRPr="00D0367A">
        <w:rPr>
          <w:rFonts w:asciiTheme="minorHAnsi" w:hAnsiTheme="minorHAnsi"/>
          <w:lang w:eastAsia="en-GB"/>
        </w:rPr>
        <w:t>ann</w:t>
      </w:r>
      <w:r w:rsidR="00572EFF" w:rsidRPr="00D0367A">
        <w:rPr>
          <w:rFonts w:asciiTheme="minorHAnsi" w:hAnsiTheme="minorHAnsi"/>
          <w:lang w:eastAsia="en-GB"/>
        </w:rPr>
        <w:t>o</w:t>
      </w:r>
      <w:r w:rsidRPr="00D0367A">
        <w:rPr>
          <w:rFonts w:asciiTheme="minorHAnsi" w:hAnsiTheme="minorHAnsi"/>
          <w:lang w:eastAsia="en-GB"/>
        </w:rPr>
        <w:t xml:space="preserve"> </w:t>
      </w:r>
      <w:r w:rsidR="00857DED" w:rsidRPr="00D0367A">
        <w:rPr>
          <w:rFonts w:asciiTheme="minorHAnsi" w:hAnsiTheme="minorHAnsi"/>
          <w:lang w:eastAsia="en-GB"/>
        </w:rPr>
        <w:t>2020.</w:t>
      </w:r>
    </w:p>
    <w:p w14:paraId="356FBC75" w14:textId="77777777" w:rsidR="00FE0A8E" w:rsidRPr="00CB19B5" w:rsidRDefault="00FE0A8E" w:rsidP="00FE0A8E">
      <w:pPr>
        <w:rPr>
          <w:rFonts w:asciiTheme="minorHAnsi" w:hAnsiTheme="minorHAnsi"/>
          <w:lang w:eastAsia="en-GB"/>
        </w:rPr>
      </w:pPr>
      <w:r w:rsidRPr="00CB19B5">
        <w:rPr>
          <w:rFonts w:asciiTheme="minorHAnsi" w:hAnsiTheme="minorHAnsi"/>
          <w:lang w:eastAsia="en-GB"/>
        </w:rPr>
        <w:t xml:space="preserve">Tali dati, sono inputati da </w:t>
      </w:r>
      <w:r w:rsidR="00EE1898" w:rsidRPr="00CB19B5">
        <w:rPr>
          <w:rFonts w:asciiTheme="minorHAnsi" w:hAnsiTheme="minorHAnsi"/>
          <w:lang w:eastAsia="en-GB"/>
        </w:rPr>
        <w:t>CEC, per quanto di sua competenza,</w:t>
      </w:r>
      <w:r w:rsidRPr="00CB19B5">
        <w:rPr>
          <w:rFonts w:asciiTheme="minorHAnsi" w:hAnsiTheme="minorHAnsi"/>
          <w:lang w:eastAsia="en-GB"/>
        </w:rPr>
        <w:t xml:space="preserve"> sulla base dei dati derivanti dal bilancio di esercizio dell’anno 2018.</w:t>
      </w:r>
    </w:p>
    <w:p w14:paraId="1A9DA68E" w14:textId="77777777" w:rsidR="00EE1898" w:rsidRPr="006664C2" w:rsidRDefault="00FE0A8E" w:rsidP="00CB19B5">
      <w:pPr>
        <w:rPr>
          <w:rFonts w:asciiTheme="minorHAnsi" w:hAnsiTheme="minorHAnsi"/>
          <w:lang w:eastAsia="en-GB"/>
        </w:rPr>
      </w:pPr>
      <w:r w:rsidRPr="00CB19B5">
        <w:rPr>
          <w:rFonts w:asciiTheme="minorHAnsi" w:hAnsiTheme="minorHAnsi"/>
          <w:lang w:eastAsia="en-GB"/>
        </w:rPr>
        <w:t xml:space="preserve">Alla luce del fatto che CEC, risulta essere qualificabile come gestore, come </w:t>
      </w:r>
      <w:r w:rsidR="001246DE">
        <w:rPr>
          <w:rFonts w:asciiTheme="minorHAnsi" w:hAnsiTheme="minorHAnsi"/>
          <w:lang w:eastAsia="en-GB"/>
        </w:rPr>
        <w:t xml:space="preserve">Egea </w:t>
      </w:r>
      <w:r w:rsidR="001246DE" w:rsidRPr="006664C2">
        <w:rPr>
          <w:rFonts w:asciiTheme="minorHAnsi" w:hAnsiTheme="minorHAnsi"/>
          <w:lang w:eastAsia="en-GB"/>
        </w:rPr>
        <w:t>ambiente S.r.l.</w:t>
      </w:r>
      <w:r w:rsidRPr="006664C2">
        <w:rPr>
          <w:rFonts w:asciiTheme="minorHAnsi" w:hAnsiTheme="minorHAnsi"/>
          <w:lang w:eastAsia="en-GB"/>
        </w:rPr>
        <w:t xml:space="preserve"> </w:t>
      </w:r>
      <w:r w:rsidR="00207EFB" w:rsidRPr="006664C2">
        <w:rPr>
          <w:rFonts w:asciiTheme="minorHAnsi" w:hAnsiTheme="minorHAnsi"/>
          <w:lang w:eastAsia="en-GB"/>
        </w:rPr>
        <w:t xml:space="preserve">e Docks Lanterna </w:t>
      </w:r>
      <w:r w:rsidRPr="006664C2">
        <w:rPr>
          <w:rFonts w:asciiTheme="minorHAnsi" w:hAnsiTheme="minorHAnsi"/>
          <w:lang w:eastAsia="en-GB"/>
        </w:rPr>
        <w:t xml:space="preserve">all’interno del Lotto </w:t>
      </w:r>
      <w:r w:rsidR="007B2E8C" w:rsidRPr="006664C2">
        <w:rPr>
          <w:rFonts w:asciiTheme="minorHAnsi" w:hAnsiTheme="minorHAnsi"/>
          <w:lang w:eastAsia="en-GB"/>
        </w:rPr>
        <w:t>Valli Maira e Grana</w:t>
      </w:r>
      <w:r w:rsidRPr="006664C2">
        <w:rPr>
          <w:rFonts w:asciiTheme="minorHAnsi" w:hAnsiTheme="minorHAnsi"/>
          <w:lang w:eastAsia="en-GB"/>
        </w:rPr>
        <w:t>, nella determinazione delle entrate tariffarie relative all’anno 2020 si è fatto riferimento ai dati derivanti</w:t>
      </w:r>
      <w:r w:rsidR="00EE1898" w:rsidRPr="006664C2">
        <w:rPr>
          <w:rFonts w:asciiTheme="minorHAnsi" w:hAnsiTheme="minorHAnsi"/>
          <w:lang w:eastAsia="en-GB"/>
        </w:rPr>
        <w:t xml:space="preserve"> dai bilanci di:</w:t>
      </w:r>
    </w:p>
    <w:p w14:paraId="2D0B4518" w14:textId="77777777" w:rsidR="00046F08" w:rsidRPr="006664C2" w:rsidRDefault="00FE0A8E" w:rsidP="00CB19B5">
      <w:pPr>
        <w:pStyle w:val="Paragrafoelenco"/>
        <w:numPr>
          <w:ilvl w:val="0"/>
          <w:numId w:val="19"/>
        </w:numPr>
        <w:jc w:val="both"/>
        <w:rPr>
          <w:rFonts w:asciiTheme="minorHAnsi" w:hAnsiTheme="minorHAnsi"/>
          <w:lang w:eastAsia="en-GB"/>
        </w:rPr>
      </w:pPr>
      <w:r w:rsidRPr="006664C2">
        <w:rPr>
          <w:rFonts w:asciiTheme="minorHAnsi" w:hAnsiTheme="minorHAnsi"/>
          <w:lang w:eastAsia="en-GB"/>
        </w:rPr>
        <w:t xml:space="preserve">CEC, </w:t>
      </w:r>
      <w:r w:rsidR="00046F08" w:rsidRPr="006664C2">
        <w:rPr>
          <w:rFonts w:asciiTheme="minorHAnsi" w:hAnsiTheme="minorHAnsi"/>
          <w:lang w:eastAsia="en-GB"/>
        </w:rPr>
        <w:t xml:space="preserve">limitatamente alle poste riferibili alle attività svolte all’interno del Lotto </w:t>
      </w:r>
      <w:r w:rsidR="007B2E8C" w:rsidRPr="006664C2">
        <w:rPr>
          <w:rFonts w:asciiTheme="minorHAnsi" w:hAnsiTheme="minorHAnsi"/>
          <w:lang w:eastAsia="en-GB"/>
        </w:rPr>
        <w:t>Valli Maira e Grana</w:t>
      </w:r>
      <w:r w:rsidR="00046F08" w:rsidRPr="006664C2">
        <w:rPr>
          <w:rFonts w:asciiTheme="minorHAnsi" w:hAnsiTheme="minorHAnsi"/>
          <w:lang w:eastAsia="en-GB"/>
        </w:rPr>
        <w:t>,</w:t>
      </w:r>
    </w:p>
    <w:p w14:paraId="24666357" w14:textId="77777777" w:rsidR="00046F08" w:rsidRPr="006664C2" w:rsidRDefault="001246DE" w:rsidP="00CB19B5">
      <w:pPr>
        <w:pStyle w:val="Paragrafoelenco"/>
        <w:numPr>
          <w:ilvl w:val="0"/>
          <w:numId w:val="19"/>
        </w:numPr>
        <w:jc w:val="both"/>
        <w:rPr>
          <w:rFonts w:asciiTheme="minorHAnsi" w:hAnsiTheme="minorHAnsi"/>
          <w:lang w:eastAsia="en-GB"/>
        </w:rPr>
      </w:pPr>
      <w:r w:rsidRPr="006664C2">
        <w:rPr>
          <w:rFonts w:asciiTheme="minorHAnsi" w:hAnsiTheme="minorHAnsi"/>
          <w:lang w:eastAsia="en-GB"/>
        </w:rPr>
        <w:t>Egea ambiente S.r.l.</w:t>
      </w:r>
      <w:r w:rsidR="00046F08" w:rsidRPr="006664C2">
        <w:rPr>
          <w:rFonts w:asciiTheme="minorHAnsi" w:hAnsiTheme="minorHAnsi"/>
          <w:lang w:eastAsia="en-GB"/>
        </w:rPr>
        <w:t xml:space="preserve">, limitatamente alle poste riferibili alle attività svolte all’interno del Lotto </w:t>
      </w:r>
      <w:r w:rsidR="007B2E8C" w:rsidRPr="006664C2">
        <w:rPr>
          <w:rFonts w:asciiTheme="minorHAnsi" w:hAnsiTheme="minorHAnsi"/>
          <w:lang w:eastAsia="en-GB"/>
        </w:rPr>
        <w:t>Valli Maira e Grana</w:t>
      </w:r>
      <w:r w:rsidR="00046F08" w:rsidRPr="006664C2">
        <w:rPr>
          <w:rFonts w:asciiTheme="minorHAnsi" w:hAnsiTheme="minorHAnsi"/>
          <w:lang w:eastAsia="en-GB"/>
        </w:rPr>
        <w:t>,</w:t>
      </w:r>
    </w:p>
    <w:p w14:paraId="06FDCE3C" w14:textId="6C6B1B00" w:rsidR="00207EFB" w:rsidRPr="006664C2" w:rsidRDefault="00207EFB" w:rsidP="00207EFB">
      <w:pPr>
        <w:pStyle w:val="Paragrafoelenco"/>
        <w:numPr>
          <w:ilvl w:val="0"/>
          <w:numId w:val="19"/>
        </w:numPr>
        <w:jc w:val="both"/>
        <w:rPr>
          <w:rFonts w:asciiTheme="minorHAnsi" w:hAnsiTheme="minorHAnsi"/>
          <w:lang w:eastAsia="en-GB"/>
        </w:rPr>
      </w:pPr>
      <w:r w:rsidRPr="006664C2">
        <w:rPr>
          <w:rFonts w:asciiTheme="minorHAnsi" w:hAnsiTheme="minorHAnsi"/>
          <w:lang w:eastAsia="en-GB"/>
        </w:rPr>
        <w:t>Docks Lanterna., limitatamente alle poste riferibili alle aree ecologiche</w:t>
      </w:r>
      <w:r w:rsidR="006664C2">
        <w:rPr>
          <w:rFonts w:asciiTheme="minorHAnsi" w:hAnsiTheme="minorHAnsi"/>
          <w:lang w:eastAsia="en-GB"/>
        </w:rPr>
        <w:t xml:space="preserve"> situate all’interno di comuni appartenenti ad altro lotto, i cui costi sono stati ripartiti anche sui comuni del</w:t>
      </w:r>
      <w:r w:rsidRPr="006664C2">
        <w:rPr>
          <w:rFonts w:asciiTheme="minorHAnsi" w:hAnsiTheme="minorHAnsi"/>
          <w:lang w:eastAsia="en-GB"/>
        </w:rPr>
        <w:t xml:space="preserve"> Lotto Valli Maira e Grana</w:t>
      </w:r>
      <w:r w:rsidR="006664C2">
        <w:rPr>
          <w:rFonts w:asciiTheme="minorHAnsi" w:hAnsiTheme="minorHAnsi"/>
          <w:lang w:eastAsia="en-GB"/>
        </w:rPr>
        <w:t xml:space="preserve"> come previsto dalle apposite convenzioni stipulate tra comuni</w:t>
      </w:r>
      <w:r w:rsidRPr="006664C2">
        <w:rPr>
          <w:rFonts w:asciiTheme="minorHAnsi" w:hAnsiTheme="minorHAnsi"/>
          <w:lang w:eastAsia="en-GB"/>
        </w:rPr>
        <w:t>.</w:t>
      </w:r>
    </w:p>
    <w:p w14:paraId="51DD8E2A" w14:textId="77777777" w:rsidR="00207EFB" w:rsidRPr="00CB19B5" w:rsidRDefault="00207EFB" w:rsidP="00207EFB">
      <w:pPr>
        <w:pStyle w:val="Paragrafoelenco"/>
        <w:jc w:val="both"/>
        <w:rPr>
          <w:rFonts w:asciiTheme="minorHAnsi" w:hAnsiTheme="minorHAnsi"/>
          <w:lang w:eastAsia="en-GB"/>
        </w:rPr>
      </w:pPr>
    </w:p>
    <w:p w14:paraId="3BA3CE34" w14:textId="77777777" w:rsidR="00FE0A8E" w:rsidRPr="00CB19B5" w:rsidRDefault="00046F08" w:rsidP="00046F08">
      <w:pPr>
        <w:rPr>
          <w:rFonts w:asciiTheme="minorHAnsi" w:hAnsiTheme="minorHAnsi"/>
          <w:lang w:eastAsia="en-GB"/>
        </w:rPr>
      </w:pPr>
      <w:r w:rsidRPr="00CB19B5">
        <w:rPr>
          <w:rFonts w:asciiTheme="minorHAnsi" w:hAnsiTheme="minorHAnsi"/>
          <w:lang w:eastAsia="en-GB"/>
        </w:rPr>
        <w:t xml:space="preserve">Tali informazioni relative alle poste contabili presenti nei bilanci dei gestori sono state analizzate e utilizzate per la predisposizione del PEF </w:t>
      </w:r>
      <w:r w:rsidR="00FE0A8E" w:rsidRPr="00CB19B5">
        <w:rPr>
          <w:rFonts w:asciiTheme="minorHAnsi" w:hAnsiTheme="minorHAnsi"/>
          <w:lang w:eastAsia="en-GB"/>
        </w:rPr>
        <w:t>operando</w:t>
      </w:r>
      <w:r w:rsidRPr="00CB19B5">
        <w:rPr>
          <w:rFonts w:asciiTheme="minorHAnsi" w:hAnsiTheme="minorHAnsi"/>
          <w:lang w:eastAsia="en-GB"/>
        </w:rPr>
        <w:t>, ove necessario,</w:t>
      </w:r>
      <w:r w:rsidR="00FE0A8E" w:rsidRPr="00CB19B5">
        <w:rPr>
          <w:rFonts w:asciiTheme="minorHAnsi" w:hAnsiTheme="minorHAnsi"/>
          <w:lang w:eastAsia="en-GB"/>
        </w:rPr>
        <w:t xml:space="preserve"> le </w:t>
      </w:r>
      <w:r w:rsidRPr="00CB19B5">
        <w:rPr>
          <w:rFonts w:asciiTheme="minorHAnsi" w:hAnsiTheme="minorHAnsi"/>
          <w:lang w:eastAsia="en-GB"/>
        </w:rPr>
        <w:t xml:space="preserve">opportune </w:t>
      </w:r>
      <w:r w:rsidR="00FE0A8E" w:rsidRPr="00CB19B5">
        <w:rPr>
          <w:rFonts w:asciiTheme="minorHAnsi" w:hAnsiTheme="minorHAnsi"/>
          <w:lang w:eastAsia="en-GB"/>
        </w:rPr>
        <w:t>elisioni delle eventuali partite di giro tra Gestori.</w:t>
      </w:r>
    </w:p>
    <w:p w14:paraId="162A7EC7" w14:textId="77777777" w:rsidR="00857DED" w:rsidRPr="0034669D" w:rsidRDefault="00857DED" w:rsidP="00EF2D6E">
      <w:pPr>
        <w:rPr>
          <w:rFonts w:asciiTheme="minorHAnsi" w:hAnsiTheme="minorHAnsi"/>
          <w:lang w:eastAsia="en-GB"/>
        </w:rPr>
      </w:pPr>
    </w:p>
    <w:p w14:paraId="774E629E" w14:textId="77777777" w:rsidR="001A2E02" w:rsidRPr="00424220" w:rsidRDefault="001A2E02" w:rsidP="00C97FE5">
      <w:pPr>
        <w:pStyle w:val="Titolo3"/>
      </w:pPr>
      <w:bookmarkStart w:id="16" w:name="_Toc45528373"/>
      <w:r w:rsidRPr="00424220">
        <w:t>Dati di conto economico</w:t>
      </w:r>
      <w:bookmarkEnd w:id="16"/>
    </w:p>
    <w:p w14:paraId="152A4ECC" w14:textId="77777777" w:rsidR="00FE0A8E" w:rsidRPr="00CB19B5" w:rsidRDefault="00FE0A8E" w:rsidP="00CF3168">
      <w:pPr>
        <w:rPr>
          <w:rFonts w:asciiTheme="minorHAnsi" w:hAnsiTheme="minorHAnsi"/>
          <w:lang w:eastAsia="en-GB"/>
        </w:rPr>
      </w:pPr>
      <w:r w:rsidRPr="00CB19B5">
        <w:rPr>
          <w:rFonts w:asciiTheme="minorHAnsi" w:hAnsiTheme="minorHAnsi"/>
          <w:lang w:eastAsia="en-GB"/>
        </w:rPr>
        <w:t xml:space="preserve">Si rimanda </w:t>
      </w:r>
      <w:r w:rsidR="00046F08" w:rsidRPr="00CB19B5">
        <w:rPr>
          <w:rFonts w:asciiTheme="minorHAnsi" w:hAnsiTheme="minorHAnsi"/>
          <w:lang w:eastAsia="en-GB"/>
        </w:rPr>
        <w:t>alle Relazioni di Accompagnamento de</w:t>
      </w:r>
      <w:r w:rsidR="00CD2FED">
        <w:rPr>
          <w:rFonts w:asciiTheme="minorHAnsi" w:hAnsiTheme="minorHAnsi"/>
          <w:lang w:eastAsia="en-GB"/>
        </w:rPr>
        <w:t>l Gestore</w:t>
      </w:r>
      <w:r w:rsidR="00046F08" w:rsidRPr="00CB19B5">
        <w:rPr>
          <w:rFonts w:asciiTheme="minorHAnsi" w:hAnsiTheme="minorHAnsi"/>
          <w:lang w:eastAsia="en-GB"/>
        </w:rPr>
        <w:t xml:space="preserve"> per le informazioni relative a</w:t>
      </w:r>
      <w:r w:rsidRPr="00CB19B5">
        <w:rPr>
          <w:rFonts w:asciiTheme="minorHAnsi" w:hAnsiTheme="minorHAnsi"/>
          <w:lang w:eastAsia="en-GB"/>
        </w:rPr>
        <w:t xml:space="preserve">i dati </w:t>
      </w:r>
      <w:r w:rsidR="00046F08" w:rsidRPr="00CB19B5">
        <w:rPr>
          <w:rFonts w:asciiTheme="minorHAnsi" w:hAnsiTheme="minorHAnsi"/>
          <w:lang w:eastAsia="en-GB"/>
        </w:rPr>
        <w:t xml:space="preserve">utilizzati </w:t>
      </w:r>
      <w:r w:rsidRPr="00CB19B5">
        <w:rPr>
          <w:rFonts w:asciiTheme="minorHAnsi" w:hAnsiTheme="minorHAnsi"/>
          <w:lang w:eastAsia="en-GB"/>
        </w:rPr>
        <w:t xml:space="preserve">per la determinazione delle entrate di riferimento dei </w:t>
      </w:r>
      <w:r w:rsidR="00046F08" w:rsidRPr="00CB19B5">
        <w:rPr>
          <w:rFonts w:asciiTheme="minorHAnsi" w:hAnsiTheme="minorHAnsi"/>
          <w:lang w:eastAsia="en-GB"/>
        </w:rPr>
        <w:t>Comuni d</w:t>
      </w:r>
      <w:r w:rsidRPr="00CB19B5">
        <w:rPr>
          <w:rFonts w:asciiTheme="minorHAnsi" w:hAnsiTheme="minorHAnsi"/>
          <w:lang w:eastAsia="en-GB"/>
        </w:rPr>
        <w:t xml:space="preserve">el </w:t>
      </w:r>
      <w:r w:rsidR="00046F08" w:rsidRPr="00CB19B5">
        <w:rPr>
          <w:rFonts w:asciiTheme="minorHAnsi" w:hAnsiTheme="minorHAnsi"/>
          <w:lang w:eastAsia="en-GB"/>
        </w:rPr>
        <w:t>L</w:t>
      </w:r>
      <w:r w:rsidRPr="00CB19B5">
        <w:rPr>
          <w:rFonts w:asciiTheme="minorHAnsi" w:hAnsiTheme="minorHAnsi"/>
          <w:lang w:eastAsia="en-GB"/>
        </w:rPr>
        <w:t xml:space="preserve">otto </w:t>
      </w:r>
      <w:r w:rsidR="007B2E8C">
        <w:rPr>
          <w:rFonts w:asciiTheme="minorHAnsi" w:hAnsiTheme="minorHAnsi"/>
          <w:lang w:eastAsia="en-GB"/>
        </w:rPr>
        <w:t>Valli Maira e Grana</w:t>
      </w:r>
      <w:r w:rsidRPr="00CB19B5">
        <w:rPr>
          <w:rFonts w:asciiTheme="minorHAnsi" w:hAnsiTheme="minorHAnsi"/>
          <w:lang w:eastAsia="en-GB"/>
        </w:rPr>
        <w:t xml:space="preserve">. </w:t>
      </w:r>
    </w:p>
    <w:p w14:paraId="131DA448" w14:textId="77777777" w:rsidR="005B1A27" w:rsidRDefault="005B1A27" w:rsidP="00CF3168">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2018</w:t>
      </w:r>
      <w:r w:rsidR="00DA1534" w:rsidRPr="00CB19B5">
        <w:rPr>
          <w:rFonts w:asciiTheme="minorHAnsi" w:hAnsiTheme="minorHAnsi"/>
          <w:lang w:eastAsia="en-GB"/>
        </w:rPr>
        <w:t xml:space="preserve">, </w:t>
      </w:r>
      <w:r w:rsidRPr="00CB19B5">
        <w:rPr>
          <w:rFonts w:asciiTheme="minorHAnsi" w:hAnsiTheme="minorHAnsi"/>
          <w:lang w:eastAsia="en-GB"/>
        </w:rPr>
        <w:t>suddivisi per comune e per componente tariffaria. Nello specifico sono stati comunicati i costi relativi</w:t>
      </w:r>
      <w:r w:rsidR="00CA3CEF" w:rsidRPr="00CB19B5">
        <w:rPr>
          <w:rFonts w:asciiTheme="minorHAnsi" w:hAnsiTheme="minorHAnsi"/>
          <w:lang w:eastAsia="en-GB"/>
        </w:rPr>
        <w:t xml:space="preserve"> att</w:t>
      </w:r>
      <w:r w:rsidRPr="00CB19B5">
        <w:rPr>
          <w:rFonts w:asciiTheme="minorHAnsi" w:hAnsiTheme="minorHAnsi"/>
          <w:lang w:eastAsia="en-GB"/>
        </w:rPr>
        <w:t>ribuibili alle componenti CRT e CGG del MTR.</w:t>
      </w:r>
      <w:r w:rsidR="00CA3CEF"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7B2E8C">
        <w:rPr>
          <w:rFonts w:asciiTheme="minorHAnsi" w:hAnsiTheme="minorHAnsi"/>
          <w:lang w:eastAsia="en-GB"/>
        </w:rPr>
        <w:t>Valli Maira e Grana.</w:t>
      </w:r>
    </w:p>
    <w:p w14:paraId="73340C29" w14:textId="77777777" w:rsidR="005B1A27" w:rsidRPr="0034669D" w:rsidRDefault="005B1A27" w:rsidP="00CF3168">
      <w:pPr>
        <w:rPr>
          <w:rFonts w:asciiTheme="minorHAnsi" w:hAnsiTheme="minorHAnsi"/>
        </w:rPr>
      </w:pPr>
    </w:p>
    <w:p w14:paraId="2EC36EF7" w14:textId="77777777" w:rsidR="00CF3168" w:rsidRPr="0034669D" w:rsidRDefault="00CF3168" w:rsidP="00C97FE5">
      <w:pPr>
        <w:pStyle w:val="Titolo3"/>
      </w:pPr>
      <w:bookmarkStart w:id="17" w:name="_Toc45528374"/>
      <w:r w:rsidRPr="0034669D">
        <w:t>Focus su</w:t>
      </w:r>
      <w:r w:rsidR="006C2EA8" w:rsidRPr="0034669D">
        <w:t>i ricavi derivanti da vendita di materiali e/o energia</w:t>
      </w:r>
      <w:bookmarkEnd w:id="17"/>
      <w:r w:rsidR="006C2EA8" w:rsidRPr="0034669D">
        <w:t xml:space="preserve"> </w:t>
      </w:r>
    </w:p>
    <w:p w14:paraId="1A84CD21" w14:textId="77777777" w:rsidR="00350707" w:rsidRPr="003201F0" w:rsidRDefault="00350707" w:rsidP="00A94BD8">
      <w:pPr>
        <w:rPr>
          <w:rFonts w:asciiTheme="minorHAnsi" w:hAnsiTheme="minorHAnsi"/>
          <w:lang w:eastAsia="en-GB"/>
        </w:rPr>
      </w:pPr>
      <w:r w:rsidRPr="003201F0">
        <w:rPr>
          <w:rFonts w:asciiTheme="minorHAnsi" w:hAnsiTheme="minorHAnsi"/>
          <w:lang w:eastAsia="en-GB"/>
        </w:rPr>
        <w:t>Vengono</w:t>
      </w:r>
      <w:r w:rsidR="000A4113" w:rsidRPr="003201F0">
        <w:rPr>
          <w:rFonts w:asciiTheme="minorHAnsi" w:hAnsiTheme="minorHAnsi"/>
          <w:lang w:eastAsia="en-GB"/>
        </w:rPr>
        <w:t xml:space="preserve"> dettagliate</w:t>
      </w:r>
      <w:r w:rsidRPr="003201F0">
        <w:rPr>
          <w:rFonts w:asciiTheme="minorHAnsi" w:hAnsiTheme="minorHAnsi"/>
          <w:lang w:eastAsia="en-GB"/>
        </w:rPr>
        <w:t xml:space="preserve"> nella successiva tabella</w:t>
      </w:r>
      <w:r w:rsidR="000A4113" w:rsidRPr="003201F0">
        <w:rPr>
          <w:rFonts w:asciiTheme="minorHAnsi" w:hAnsiTheme="minorHAnsi"/>
          <w:lang w:eastAsia="en-GB"/>
        </w:rPr>
        <w:t xml:space="preserve"> </w:t>
      </w:r>
      <w:r w:rsidR="00DB46B1" w:rsidRPr="003201F0">
        <w:rPr>
          <w:rFonts w:asciiTheme="minorHAnsi" w:hAnsiTheme="minorHAnsi"/>
          <w:lang w:eastAsia="en-GB"/>
        </w:rPr>
        <w:t>le singole voci di ricavo distinguendo tra i ricavi derivanti da vendita di materiali ed energia e ricavi derivanti dai corrispettivi riconosciuti dal CONAI.</w:t>
      </w:r>
    </w:p>
    <w:p w14:paraId="73BE24D5" w14:textId="77777777" w:rsidR="00741B01" w:rsidRDefault="00350707" w:rsidP="00DA1534">
      <w:pPr>
        <w:rPr>
          <w:rFonts w:asciiTheme="minorHAnsi" w:hAnsiTheme="minorHAnsi"/>
          <w:smallCaps/>
        </w:rPr>
      </w:pPr>
      <w:r w:rsidRPr="003201F0">
        <w:rPr>
          <w:rFonts w:asciiTheme="minorHAnsi" w:hAnsiTheme="minorHAnsi"/>
          <w:lang w:eastAsia="en-GB"/>
        </w:rPr>
        <w:t xml:space="preserve">Si riportano, all’interno della componente </w:t>
      </w:r>
      <w:r w:rsidRPr="003201F0">
        <w:rPr>
          <w:rFonts w:asciiTheme="minorHAnsi" w:hAnsiTheme="minorHAnsi"/>
          <w:i/>
          <w:iCs/>
          <w:lang w:eastAsia="en-GB"/>
        </w:rPr>
        <w:t xml:space="preserve">AR </w:t>
      </w:r>
      <w:r w:rsidRPr="003201F0">
        <w:rPr>
          <w:rFonts w:asciiTheme="minorHAnsi" w:hAnsiTheme="minorHAnsi"/>
          <w:lang w:eastAsia="en-GB"/>
        </w:rPr>
        <w:t xml:space="preserve">anche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sidRPr="003201F0">
        <w:rPr>
          <w:rFonts w:asciiTheme="minorHAnsi" w:hAnsiTheme="minorHAnsi"/>
          <w:lang w:eastAsia="en-GB"/>
        </w:rPr>
        <w:t xml:space="preserve"> così come individuato dall’art. 2.2 sesto punto della deliberazione </w:t>
      </w:r>
      <w:r w:rsidRPr="003201F0">
        <w:rPr>
          <w:rFonts w:asciiTheme="minorHAnsi" w:hAnsiTheme="minorHAnsi"/>
        </w:rPr>
        <w:t>443/2019/R/</w:t>
      </w:r>
      <w:r w:rsidRPr="003201F0">
        <w:rPr>
          <w:rFonts w:asciiTheme="minorHAnsi" w:hAnsiTheme="minorHAnsi"/>
          <w:smallCaps/>
        </w:rPr>
        <w:t>rif.</w:t>
      </w:r>
    </w:p>
    <w:p w14:paraId="6097E1E8" w14:textId="77777777" w:rsidR="004B55F8" w:rsidRDefault="004B55F8" w:rsidP="00DA1534">
      <w:pPr>
        <w:rPr>
          <w:rFonts w:asciiTheme="minorHAnsi" w:hAnsiTheme="minorHAnsi"/>
          <w:smallCaps/>
        </w:rPr>
      </w:pPr>
    </w:p>
    <w:p w14:paraId="3DC27C17" w14:textId="77777777" w:rsidR="00FF48BD" w:rsidRPr="00AB1A3D" w:rsidRDefault="00741B01" w:rsidP="00AB1A3D">
      <w:pPr>
        <w:pStyle w:val="Didascalia"/>
        <w:rPr>
          <w:color w:val="FF0000"/>
        </w:rPr>
      </w:pPr>
      <w:r w:rsidRPr="00215F27">
        <w:t xml:space="preserve">Tabella </w:t>
      </w:r>
      <w:r w:rsidR="00583CE5" w:rsidRPr="00215F27">
        <w:rPr>
          <w:noProof/>
        </w:rPr>
        <w:fldChar w:fldCharType="begin"/>
      </w:r>
      <w:r w:rsidR="00583CE5" w:rsidRPr="00215F27">
        <w:rPr>
          <w:noProof/>
        </w:rPr>
        <w:instrText xml:space="preserve"> SEQ Tabella \* ARABIC </w:instrText>
      </w:r>
      <w:r w:rsidR="00583CE5" w:rsidRPr="00215F27">
        <w:rPr>
          <w:noProof/>
        </w:rPr>
        <w:fldChar w:fldCharType="separate"/>
      </w:r>
      <w:r w:rsidR="00ED351E" w:rsidRPr="00215F27">
        <w:rPr>
          <w:noProof/>
        </w:rPr>
        <w:t>13</w:t>
      </w:r>
      <w:r w:rsidR="00583CE5" w:rsidRPr="00215F27">
        <w:rPr>
          <w:noProof/>
        </w:rPr>
        <w:fldChar w:fldCharType="end"/>
      </w:r>
      <w:r w:rsidRPr="00215F27">
        <w:t xml:space="preserve"> Dettagli delle voci di ricavo soggette a sharing</w:t>
      </w:r>
    </w:p>
    <w:tbl>
      <w:tblPr>
        <w:tblStyle w:val="Tabellagriglia1chiara-colore110"/>
        <w:tblW w:w="9639" w:type="dxa"/>
        <w:tblInd w:w="108" w:type="dxa"/>
        <w:tblLayout w:type="fixed"/>
        <w:tblLook w:val="04A0" w:firstRow="1" w:lastRow="0" w:firstColumn="1" w:lastColumn="0" w:noHBand="0" w:noVBand="1"/>
      </w:tblPr>
      <w:tblGrid>
        <w:gridCol w:w="2409"/>
        <w:gridCol w:w="2410"/>
        <w:gridCol w:w="2410"/>
        <w:gridCol w:w="2410"/>
      </w:tblGrid>
      <w:tr w:rsidR="00400311" w:rsidRPr="00276D6D" w14:paraId="030A138B" w14:textId="77777777" w:rsidTr="00215F27">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2409" w:type="dxa"/>
            <w:vAlign w:val="center"/>
            <w:hideMark/>
          </w:tcPr>
          <w:p w14:paraId="691F4D07" w14:textId="77777777" w:rsidR="00400311" w:rsidRPr="004B55F8" w:rsidRDefault="00400311" w:rsidP="00215F27">
            <w:pPr>
              <w:jc w:val="left"/>
              <w:rPr>
                <w:rFonts w:asciiTheme="minorHAnsi" w:hAnsiTheme="minorHAnsi"/>
                <w:bCs w:val="0"/>
                <w:szCs w:val="20"/>
                <w:lang w:eastAsia="en-GB"/>
              </w:rPr>
            </w:pPr>
            <w:r w:rsidRPr="004B55F8">
              <w:rPr>
                <w:rFonts w:asciiTheme="minorHAnsi" w:hAnsiTheme="minorHAnsi"/>
                <w:bCs w:val="0"/>
                <w:szCs w:val="20"/>
                <w:lang w:eastAsia="en-GB"/>
              </w:rPr>
              <w:t>LOTTO</w:t>
            </w:r>
          </w:p>
        </w:tc>
        <w:tc>
          <w:tcPr>
            <w:tcW w:w="2410" w:type="dxa"/>
            <w:vAlign w:val="center"/>
            <w:hideMark/>
          </w:tcPr>
          <w:p w14:paraId="70DAFB1A" w14:textId="77777777" w:rsidR="00400311" w:rsidRPr="004B55F8" w:rsidRDefault="00400311" w:rsidP="00215F27">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4B55F8">
              <w:rPr>
                <w:rFonts w:asciiTheme="minorHAnsi" w:hAnsiTheme="minorHAnsi"/>
                <w:bCs w:val="0"/>
                <w:szCs w:val="20"/>
                <w:lang w:eastAsia="en-GB"/>
              </w:rPr>
              <w:t>COMUNE</w:t>
            </w:r>
          </w:p>
        </w:tc>
        <w:tc>
          <w:tcPr>
            <w:tcW w:w="2410" w:type="dxa"/>
            <w:vAlign w:val="center"/>
            <w:hideMark/>
          </w:tcPr>
          <w:p w14:paraId="1BE0146D" w14:textId="77777777" w:rsidR="00400311" w:rsidRPr="004B55F8" w:rsidRDefault="00400311" w:rsidP="00215F27">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4B55F8">
              <w:rPr>
                <w:rFonts w:asciiTheme="minorHAnsi" w:hAnsiTheme="minorHAnsi"/>
                <w:bCs w:val="0"/>
                <w:szCs w:val="20"/>
                <w:lang w:eastAsia="en-GB"/>
              </w:rPr>
              <w:t>Ar</w:t>
            </w:r>
          </w:p>
        </w:tc>
        <w:tc>
          <w:tcPr>
            <w:tcW w:w="2410" w:type="dxa"/>
            <w:vAlign w:val="center"/>
            <w:hideMark/>
          </w:tcPr>
          <w:p w14:paraId="7E7C565C" w14:textId="77777777" w:rsidR="00400311" w:rsidRPr="004B55F8" w:rsidRDefault="00400311" w:rsidP="00215F27">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4B55F8">
              <w:rPr>
                <w:rFonts w:asciiTheme="minorHAnsi" w:hAnsiTheme="minorHAnsi"/>
                <w:bCs w:val="0"/>
                <w:szCs w:val="20"/>
                <w:lang w:eastAsia="en-GB"/>
              </w:rPr>
              <w:t>Ar_Conai</w:t>
            </w:r>
          </w:p>
        </w:tc>
      </w:tr>
      <w:tr w:rsidR="007B2E8C" w:rsidRPr="00276D6D" w14:paraId="1D34BD81"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349C6263"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6E772DDB"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Acceglio </w:t>
            </w:r>
          </w:p>
        </w:tc>
        <w:tc>
          <w:tcPr>
            <w:tcW w:w="2410" w:type="dxa"/>
            <w:noWrap/>
            <w:vAlign w:val="bottom"/>
            <w:hideMark/>
          </w:tcPr>
          <w:p w14:paraId="6D271CBF"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1.627 </w:t>
            </w:r>
          </w:p>
        </w:tc>
        <w:tc>
          <w:tcPr>
            <w:tcW w:w="2410" w:type="dxa"/>
            <w:noWrap/>
            <w:vAlign w:val="bottom"/>
            <w:hideMark/>
          </w:tcPr>
          <w:p w14:paraId="1086C4B3"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3.018 </w:t>
            </w:r>
          </w:p>
        </w:tc>
      </w:tr>
      <w:tr w:rsidR="007B2E8C" w:rsidRPr="00276D6D" w14:paraId="74CBCEAF"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0B56B35E"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182BC4CA"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Canosio </w:t>
            </w:r>
          </w:p>
        </w:tc>
        <w:tc>
          <w:tcPr>
            <w:tcW w:w="2410" w:type="dxa"/>
            <w:noWrap/>
            <w:vAlign w:val="bottom"/>
            <w:hideMark/>
          </w:tcPr>
          <w:p w14:paraId="6229303B"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388 </w:t>
            </w:r>
          </w:p>
        </w:tc>
        <w:tc>
          <w:tcPr>
            <w:tcW w:w="2410" w:type="dxa"/>
            <w:noWrap/>
            <w:vAlign w:val="bottom"/>
            <w:hideMark/>
          </w:tcPr>
          <w:p w14:paraId="612C1FC6"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714 </w:t>
            </w:r>
          </w:p>
        </w:tc>
      </w:tr>
      <w:tr w:rsidR="007B2E8C" w:rsidRPr="00276D6D" w14:paraId="7B367531"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49C51505"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28C44DFD"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Cartignano </w:t>
            </w:r>
          </w:p>
        </w:tc>
        <w:tc>
          <w:tcPr>
            <w:tcW w:w="2410" w:type="dxa"/>
            <w:noWrap/>
            <w:vAlign w:val="bottom"/>
            <w:hideMark/>
          </w:tcPr>
          <w:p w14:paraId="0DF0AF57"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420 </w:t>
            </w:r>
          </w:p>
        </w:tc>
        <w:tc>
          <w:tcPr>
            <w:tcW w:w="2410" w:type="dxa"/>
            <w:noWrap/>
            <w:vAlign w:val="bottom"/>
            <w:hideMark/>
          </w:tcPr>
          <w:p w14:paraId="65835A92"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1.459 </w:t>
            </w:r>
          </w:p>
        </w:tc>
      </w:tr>
      <w:tr w:rsidR="007B2E8C" w:rsidRPr="00276D6D" w14:paraId="5E8BBA03"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33AD70D"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33591079"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Castelmagno </w:t>
            </w:r>
          </w:p>
        </w:tc>
        <w:tc>
          <w:tcPr>
            <w:tcW w:w="2410" w:type="dxa"/>
            <w:noWrap/>
            <w:vAlign w:val="bottom"/>
            <w:hideMark/>
          </w:tcPr>
          <w:p w14:paraId="7AD9CA72"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356 </w:t>
            </w:r>
          </w:p>
        </w:tc>
        <w:tc>
          <w:tcPr>
            <w:tcW w:w="2410" w:type="dxa"/>
            <w:noWrap/>
            <w:vAlign w:val="bottom"/>
            <w:hideMark/>
          </w:tcPr>
          <w:p w14:paraId="1038651D"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645 </w:t>
            </w:r>
          </w:p>
        </w:tc>
      </w:tr>
      <w:tr w:rsidR="007B2E8C" w:rsidRPr="00276D6D" w14:paraId="6E97B086"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316BF2F0"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15539F9B"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Celle Macra </w:t>
            </w:r>
          </w:p>
        </w:tc>
        <w:tc>
          <w:tcPr>
            <w:tcW w:w="2410" w:type="dxa"/>
            <w:noWrap/>
            <w:vAlign w:val="bottom"/>
            <w:hideMark/>
          </w:tcPr>
          <w:p w14:paraId="441EBC8C"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598 </w:t>
            </w:r>
          </w:p>
        </w:tc>
        <w:tc>
          <w:tcPr>
            <w:tcW w:w="2410" w:type="dxa"/>
            <w:noWrap/>
            <w:vAlign w:val="bottom"/>
            <w:hideMark/>
          </w:tcPr>
          <w:p w14:paraId="6A342C63"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573 </w:t>
            </w:r>
          </w:p>
        </w:tc>
      </w:tr>
      <w:tr w:rsidR="007B2E8C" w:rsidRPr="00276D6D" w14:paraId="0A6C1207"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4C5BE75C"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7CC796CD"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Elva </w:t>
            </w:r>
          </w:p>
        </w:tc>
        <w:tc>
          <w:tcPr>
            <w:tcW w:w="2410" w:type="dxa"/>
            <w:noWrap/>
            <w:vAlign w:val="bottom"/>
            <w:hideMark/>
          </w:tcPr>
          <w:p w14:paraId="0FF12346"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203 </w:t>
            </w:r>
          </w:p>
        </w:tc>
        <w:tc>
          <w:tcPr>
            <w:tcW w:w="2410" w:type="dxa"/>
            <w:noWrap/>
            <w:vAlign w:val="bottom"/>
            <w:hideMark/>
          </w:tcPr>
          <w:p w14:paraId="30E2DE04"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248 </w:t>
            </w:r>
          </w:p>
        </w:tc>
      </w:tr>
      <w:tr w:rsidR="007B2E8C" w:rsidRPr="00276D6D" w14:paraId="333D1984"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6EFC5076"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60A7A85D"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Macra </w:t>
            </w:r>
          </w:p>
        </w:tc>
        <w:tc>
          <w:tcPr>
            <w:tcW w:w="2410" w:type="dxa"/>
            <w:noWrap/>
            <w:vAlign w:val="bottom"/>
            <w:hideMark/>
          </w:tcPr>
          <w:p w14:paraId="1AF2EE66"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391 </w:t>
            </w:r>
          </w:p>
        </w:tc>
        <w:tc>
          <w:tcPr>
            <w:tcW w:w="2410" w:type="dxa"/>
            <w:noWrap/>
            <w:vAlign w:val="bottom"/>
            <w:hideMark/>
          </w:tcPr>
          <w:p w14:paraId="74B08722"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727 </w:t>
            </w:r>
          </w:p>
        </w:tc>
      </w:tr>
      <w:tr w:rsidR="007B2E8C" w:rsidRPr="00276D6D" w14:paraId="0CAFF960"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4A08A1A9"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482EBFE3"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Marmora </w:t>
            </w:r>
          </w:p>
        </w:tc>
        <w:tc>
          <w:tcPr>
            <w:tcW w:w="2410" w:type="dxa"/>
            <w:noWrap/>
            <w:vAlign w:val="bottom"/>
            <w:hideMark/>
          </w:tcPr>
          <w:p w14:paraId="44844C18"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746 </w:t>
            </w:r>
          </w:p>
        </w:tc>
        <w:tc>
          <w:tcPr>
            <w:tcW w:w="2410" w:type="dxa"/>
            <w:noWrap/>
            <w:vAlign w:val="bottom"/>
            <w:hideMark/>
          </w:tcPr>
          <w:p w14:paraId="22680C63"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1.250 </w:t>
            </w:r>
          </w:p>
        </w:tc>
      </w:tr>
      <w:tr w:rsidR="007B2E8C" w:rsidRPr="00276D6D" w14:paraId="26C1DFBC"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5FE8F52"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21CD2684"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Montemale </w:t>
            </w:r>
          </w:p>
        </w:tc>
        <w:tc>
          <w:tcPr>
            <w:tcW w:w="2410" w:type="dxa"/>
            <w:noWrap/>
            <w:vAlign w:val="bottom"/>
            <w:hideMark/>
          </w:tcPr>
          <w:p w14:paraId="564B54BE"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559 </w:t>
            </w:r>
          </w:p>
        </w:tc>
        <w:tc>
          <w:tcPr>
            <w:tcW w:w="2410" w:type="dxa"/>
            <w:noWrap/>
            <w:vAlign w:val="bottom"/>
            <w:hideMark/>
          </w:tcPr>
          <w:p w14:paraId="22FEDF1B"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1.004 </w:t>
            </w:r>
          </w:p>
        </w:tc>
      </w:tr>
      <w:tr w:rsidR="007B2E8C" w:rsidRPr="00276D6D" w14:paraId="2194D879"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6B0E95D"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hideMark/>
          </w:tcPr>
          <w:p w14:paraId="7BF58C38"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 Monterosso Grana </w:t>
            </w:r>
          </w:p>
        </w:tc>
        <w:tc>
          <w:tcPr>
            <w:tcW w:w="2410" w:type="dxa"/>
            <w:noWrap/>
            <w:vAlign w:val="bottom"/>
            <w:hideMark/>
          </w:tcPr>
          <w:p w14:paraId="16112EDE"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1.076 </w:t>
            </w:r>
          </w:p>
        </w:tc>
        <w:tc>
          <w:tcPr>
            <w:tcW w:w="2410" w:type="dxa"/>
            <w:noWrap/>
            <w:vAlign w:val="bottom"/>
            <w:hideMark/>
          </w:tcPr>
          <w:p w14:paraId="2C3FAB21"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4B55F8">
              <w:rPr>
                <w:rFonts w:asciiTheme="minorHAnsi" w:hAnsiTheme="minorHAnsi" w:cs="Arial"/>
                <w:szCs w:val="20"/>
              </w:rPr>
              <w:t xml:space="preserve">3.236 </w:t>
            </w:r>
          </w:p>
        </w:tc>
      </w:tr>
      <w:tr w:rsidR="007B2E8C" w:rsidRPr="00276D6D" w14:paraId="76E9E30F"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tcPr>
          <w:p w14:paraId="6641585F"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tcPr>
          <w:p w14:paraId="73E81A1D"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Pradleves </w:t>
            </w:r>
          </w:p>
        </w:tc>
        <w:tc>
          <w:tcPr>
            <w:tcW w:w="2410" w:type="dxa"/>
            <w:noWrap/>
            <w:vAlign w:val="bottom"/>
          </w:tcPr>
          <w:p w14:paraId="2A3EB011"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727 </w:t>
            </w:r>
          </w:p>
        </w:tc>
        <w:tc>
          <w:tcPr>
            <w:tcW w:w="2410" w:type="dxa"/>
            <w:noWrap/>
            <w:vAlign w:val="bottom"/>
          </w:tcPr>
          <w:p w14:paraId="41F53472"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2.073 </w:t>
            </w:r>
          </w:p>
        </w:tc>
      </w:tr>
      <w:tr w:rsidR="007B2E8C" w:rsidRPr="00276D6D" w14:paraId="71BBB9A4"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tcPr>
          <w:p w14:paraId="05B8BB00"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tcPr>
          <w:p w14:paraId="1AEAAEEB"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Prazzo </w:t>
            </w:r>
          </w:p>
        </w:tc>
        <w:tc>
          <w:tcPr>
            <w:tcW w:w="2410" w:type="dxa"/>
            <w:noWrap/>
            <w:vAlign w:val="bottom"/>
          </w:tcPr>
          <w:p w14:paraId="38451E86"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1.834 </w:t>
            </w:r>
          </w:p>
        </w:tc>
        <w:tc>
          <w:tcPr>
            <w:tcW w:w="2410" w:type="dxa"/>
            <w:noWrap/>
            <w:vAlign w:val="bottom"/>
          </w:tcPr>
          <w:p w14:paraId="4EB0DA83"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1.950 </w:t>
            </w:r>
          </w:p>
        </w:tc>
      </w:tr>
      <w:tr w:rsidR="007B2E8C" w:rsidRPr="00276D6D" w14:paraId="66A535CB"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tcPr>
          <w:p w14:paraId="49CDB18D"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tcPr>
          <w:p w14:paraId="73215A7E"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San Damiano Macra </w:t>
            </w:r>
          </w:p>
        </w:tc>
        <w:tc>
          <w:tcPr>
            <w:tcW w:w="2410" w:type="dxa"/>
            <w:noWrap/>
            <w:vAlign w:val="bottom"/>
          </w:tcPr>
          <w:p w14:paraId="61997FAB"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1.106 </w:t>
            </w:r>
          </w:p>
        </w:tc>
        <w:tc>
          <w:tcPr>
            <w:tcW w:w="2410" w:type="dxa"/>
            <w:noWrap/>
            <w:vAlign w:val="bottom"/>
          </w:tcPr>
          <w:p w14:paraId="58C3B28A"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3.001 </w:t>
            </w:r>
          </w:p>
        </w:tc>
      </w:tr>
      <w:tr w:rsidR="007B2E8C" w:rsidRPr="00276D6D" w14:paraId="519B744A"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tcPr>
          <w:p w14:paraId="6B0D8888"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tcPr>
          <w:p w14:paraId="013BB6CE"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Stroppo </w:t>
            </w:r>
          </w:p>
        </w:tc>
        <w:tc>
          <w:tcPr>
            <w:tcW w:w="2410" w:type="dxa"/>
            <w:noWrap/>
            <w:vAlign w:val="bottom"/>
          </w:tcPr>
          <w:p w14:paraId="6AE0B7CD"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880 </w:t>
            </w:r>
          </w:p>
        </w:tc>
        <w:tc>
          <w:tcPr>
            <w:tcW w:w="2410" w:type="dxa"/>
            <w:noWrap/>
            <w:vAlign w:val="bottom"/>
          </w:tcPr>
          <w:p w14:paraId="49F831CD"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1.310 </w:t>
            </w:r>
          </w:p>
        </w:tc>
      </w:tr>
      <w:tr w:rsidR="007B2E8C" w:rsidRPr="00276D6D" w14:paraId="4C6B1FDF" w14:textId="77777777" w:rsidTr="00215F27">
        <w:trPr>
          <w:trHeight w:val="363"/>
        </w:trPr>
        <w:tc>
          <w:tcPr>
            <w:cnfStyle w:val="001000000000" w:firstRow="0" w:lastRow="0" w:firstColumn="1" w:lastColumn="0" w:oddVBand="0" w:evenVBand="0" w:oddHBand="0" w:evenHBand="0" w:firstRowFirstColumn="0" w:firstRowLastColumn="0" w:lastRowFirstColumn="0" w:lastRowLastColumn="0"/>
            <w:tcW w:w="2409" w:type="dxa"/>
            <w:noWrap/>
          </w:tcPr>
          <w:p w14:paraId="53C92D86" w14:textId="77777777" w:rsidR="007B2E8C" w:rsidRPr="004B55F8" w:rsidRDefault="007B2E8C" w:rsidP="007B2E8C">
            <w:pPr>
              <w:rPr>
                <w:rFonts w:asciiTheme="minorHAnsi" w:hAnsiTheme="minorHAnsi"/>
                <w:b w:val="0"/>
                <w:szCs w:val="20"/>
                <w:lang w:eastAsia="en-GB"/>
              </w:rPr>
            </w:pPr>
            <w:r w:rsidRPr="004B55F8">
              <w:rPr>
                <w:rFonts w:asciiTheme="minorHAnsi" w:hAnsiTheme="minorHAnsi"/>
                <w:b w:val="0"/>
                <w:szCs w:val="20"/>
                <w:lang w:eastAsia="en-GB"/>
              </w:rPr>
              <w:t>VALLI MAIRA E GRANA</w:t>
            </w:r>
          </w:p>
        </w:tc>
        <w:tc>
          <w:tcPr>
            <w:tcW w:w="2410" w:type="dxa"/>
            <w:noWrap/>
            <w:vAlign w:val="bottom"/>
          </w:tcPr>
          <w:p w14:paraId="67E44412" w14:textId="77777777" w:rsidR="007B2E8C" w:rsidRPr="004B55F8" w:rsidRDefault="007B2E8C" w:rsidP="007B2E8C">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 Valgrana </w:t>
            </w:r>
          </w:p>
        </w:tc>
        <w:tc>
          <w:tcPr>
            <w:tcW w:w="2410" w:type="dxa"/>
            <w:noWrap/>
            <w:vAlign w:val="bottom"/>
          </w:tcPr>
          <w:p w14:paraId="3B1450F0"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1.770 </w:t>
            </w:r>
          </w:p>
        </w:tc>
        <w:tc>
          <w:tcPr>
            <w:tcW w:w="2410" w:type="dxa"/>
            <w:noWrap/>
            <w:vAlign w:val="bottom"/>
          </w:tcPr>
          <w:p w14:paraId="1571DE55" w14:textId="77777777" w:rsidR="007B2E8C" w:rsidRPr="004B55F8" w:rsidRDefault="007B2E8C" w:rsidP="00215F2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Arial"/>
                <w:szCs w:val="20"/>
              </w:rPr>
              <w:t xml:space="preserve">4.211 </w:t>
            </w:r>
          </w:p>
        </w:tc>
      </w:tr>
    </w:tbl>
    <w:p w14:paraId="44B2824E" w14:textId="77777777" w:rsidR="00FF48BD" w:rsidRDefault="00FF48BD" w:rsidP="00A94BD8">
      <w:pPr>
        <w:rPr>
          <w:rFonts w:asciiTheme="minorHAnsi" w:hAnsiTheme="minorHAnsi"/>
          <w:lang w:eastAsia="en-GB"/>
        </w:rPr>
      </w:pPr>
      <w:bookmarkStart w:id="18" w:name="_Toc45528375"/>
      <w:bookmarkEnd w:id="18"/>
    </w:p>
    <w:p w14:paraId="0F3DD171" w14:textId="77777777" w:rsidR="004C3597" w:rsidRDefault="004C3597" w:rsidP="00C97FE5">
      <w:pPr>
        <w:pStyle w:val="Titolo3"/>
      </w:pPr>
      <w:r>
        <w:t>Dati di conto economico relativo all</w:t>
      </w:r>
      <w:r w:rsidR="0041125D">
        <w:t>a</w:t>
      </w:r>
      <w:r>
        <w:t xml:space="preserve"> component</w:t>
      </w:r>
      <w:r w:rsidR="0041125D">
        <w:t>e</w:t>
      </w:r>
      <w:r>
        <w:t xml:space="preserve"> a conguaglio</w:t>
      </w:r>
    </w:p>
    <w:p w14:paraId="51988D21" w14:textId="77777777" w:rsidR="00AF36E2" w:rsidRPr="00CB19B5" w:rsidRDefault="00AF36E2" w:rsidP="00AF36E2">
      <w:pPr>
        <w:rPr>
          <w:rFonts w:asciiTheme="minorHAnsi" w:hAnsiTheme="minorHAnsi"/>
          <w:lang w:eastAsia="en-GB"/>
        </w:rPr>
      </w:pPr>
      <w:r w:rsidRPr="00CB19B5">
        <w:rPr>
          <w:rFonts w:asciiTheme="minorHAnsi" w:hAnsiTheme="minorHAnsi"/>
          <w:lang w:eastAsia="en-GB"/>
        </w:rPr>
        <w:t>Si rimanda alle Relazioni di Accompagnamento de</w:t>
      </w:r>
      <w:r w:rsidR="00CD2FED">
        <w:rPr>
          <w:rFonts w:asciiTheme="minorHAnsi" w:hAnsiTheme="minorHAnsi"/>
          <w:lang w:eastAsia="en-GB"/>
        </w:rPr>
        <w:t>l Gestore</w:t>
      </w:r>
      <w:r w:rsidRPr="00CB19B5">
        <w:rPr>
          <w:rFonts w:asciiTheme="minorHAnsi" w:hAnsiTheme="minorHAnsi"/>
          <w:lang w:eastAsia="en-GB"/>
        </w:rPr>
        <w:t xml:space="preserve"> per le informazioni relative ai dati utilizzati per la determinazione della componente a conguaglio con riferimento ai Comuni del Lotto </w:t>
      </w:r>
      <w:r w:rsidR="007B2E8C">
        <w:rPr>
          <w:rFonts w:asciiTheme="minorHAnsi" w:hAnsiTheme="minorHAnsi"/>
          <w:lang w:eastAsia="en-GB"/>
        </w:rPr>
        <w:t>Valli Maira e Grana</w:t>
      </w:r>
      <w:r w:rsidRPr="00CB19B5">
        <w:rPr>
          <w:rFonts w:asciiTheme="minorHAnsi" w:hAnsiTheme="minorHAnsi"/>
          <w:lang w:eastAsia="en-GB"/>
        </w:rPr>
        <w:t xml:space="preserve">. </w:t>
      </w:r>
    </w:p>
    <w:p w14:paraId="646B03DA" w14:textId="77777777" w:rsidR="00DA1534" w:rsidRDefault="00DA1534" w:rsidP="00DA1534">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2017, suddivisi per comune e per componente tariffaria. Nello specifico sono stati comunicati i costi attribuibili alle componenti CRT e CGG del MTR.</w:t>
      </w:r>
      <w:r w:rsidR="00FF48BD"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7B2E8C">
        <w:rPr>
          <w:rFonts w:asciiTheme="minorHAnsi" w:hAnsiTheme="minorHAnsi"/>
          <w:lang w:eastAsia="en-GB"/>
        </w:rPr>
        <w:t>Valli Maira e Grana</w:t>
      </w:r>
      <w:r w:rsidR="00CB19B5">
        <w:rPr>
          <w:rFonts w:asciiTheme="minorHAnsi" w:hAnsiTheme="minorHAnsi"/>
          <w:lang w:eastAsia="en-GB"/>
        </w:rPr>
        <w:t>.</w:t>
      </w:r>
    </w:p>
    <w:p w14:paraId="787FAC5E" w14:textId="77777777" w:rsidR="00875969" w:rsidRPr="0034669D" w:rsidRDefault="00875969" w:rsidP="00A94BD8">
      <w:pPr>
        <w:rPr>
          <w:rFonts w:asciiTheme="minorHAnsi" w:hAnsiTheme="minorHAnsi"/>
          <w:lang w:eastAsia="en-GB"/>
        </w:rPr>
      </w:pPr>
    </w:p>
    <w:p w14:paraId="55047ABF" w14:textId="77777777" w:rsidR="0079684B" w:rsidRPr="004B55F8" w:rsidRDefault="001A2E02" w:rsidP="0097270A">
      <w:pPr>
        <w:pStyle w:val="Titolo3"/>
      </w:pPr>
      <w:bookmarkStart w:id="19" w:name="_Toc23417920"/>
      <w:bookmarkStart w:id="20" w:name="_Toc23418037"/>
      <w:bookmarkStart w:id="21" w:name="_Toc23418163"/>
      <w:bookmarkStart w:id="22" w:name="_Toc23417921"/>
      <w:bookmarkStart w:id="23" w:name="_Toc23418038"/>
      <w:bookmarkStart w:id="24" w:name="_Toc23418164"/>
      <w:bookmarkStart w:id="25" w:name="_Toc45528376"/>
      <w:bookmarkEnd w:id="19"/>
      <w:bookmarkEnd w:id="20"/>
      <w:bookmarkEnd w:id="21"/>
      <w:bookmarkEnd w:id="22"/>
      <w:bookmarkEnd w:id="23"/>
      <w:bookmarkEnd w:id="24"/>
      <w:r w:rsidRPr="004B55F8">
        <w:t xml:space="preserve">Dati relativi </w:t>
      </w:r>
      <w:r w:rsidR="000767C1" w:rsidRPr="004B55F8">
        <w:t>a</w:t>
      </w:r>
      <w:r w:rsidR="00E32F1E" w:rsidRPr="004B55F8">
        <w:t>i costi di capitale</w:t>
      </w:r>
      <w:bookmarkEnd w:id="25"/>
    </w:p>
    <w:p w14:paraId="27E5E11B" w14:textId="77777777" w:rsidR="00004B7D" w:rsidRPr="00B028E7" w:rsidRDefault="00004B7D" w:rsidP="00A94BD8">
      <w:pPr>
        <w:rPr>
          <w:rFonts w:asciiTheme="minorHAnsi" w:hAnsiTheme="minorHAnsi"/>
          <w:lang w:eastAsia="en-GB"/>
        </w:rPr>
      </w:pPr>
      <w:bookmarkStart w:id="26" w:name="qui"/>
      <w:bookmarkEnd w:id="26"/>
      <w:r w:rsidRPr="00B028E7">
        <w:rPr>
          <w:rFonts w:asciiTheme="minorHAnsi" w:hAnsiTheme="minorHAnsi"/>
          <w:lang w:eastAsia="en-GB"/>
        </w:rPr>
        <w:t>l valore degli incrementi patrimoniali è stato desunto dalle fonti contabili obbligatorie, ed in particolare dei libri cespiti, dei soggetti proprietari delle infrastrutture</w:t>
      </w:r>
      <w:r w:rsidR="003F0AC8" w:rsidRPr="00B028E7">
        <w:rPr>
          <w:rFonts w:asciiTheme="minorHAnsi" w:hAnsiTheme="minorHAnsi"/>
          <w:lang w:eastAsia="en-GB"/>
        </w:rPr>
        <w:t xml:space="preserve"> - gestore incluso -</w:t>
      </w:r>
      <w:r w:rsidR="00741B01" w:rsidRPr="00B028E7">
        <w:rPr>
          <w:rFonts w:asciiTheme="minorHAnsi" w:hAnsiTheme="minorHAnsi"/>
          <w:lang w:eastAsia="en-GB"/>
        </w:rPr>
        <w:t xml:space="preserve"> </w:t>
      </w:r>
      <w:r w:rsidRPr="00B028E7">
        <w:rPr>
          <w:rFonts w:asciiTheme="minorHAnsi" w:hAnsiTheme="minorHAnsi"/>
          <w:lang w:eastAsia="en-GB"/>
        </w:rPr>
        <w:t>considerando i costi storici al netto di eventuali rivalutazioni operate e attribuendoli alle categorie cespitali previste dal MTR.</w:t>
      </w:r>
    </w:p>
    <w:p w14:paraId="38F99BFB" w14:textId="77777777" w:rsidR="003F0AC8" w:rsidRDefault="003F0AC8" w:rsidP="00A94BD8">
      <w:pPr>
        <w:rPr>
          <w:rFonts w:asciiTheme="minorHAnsi" w:hAnsiTheme="minorHAnsi"/>
          <w:lang w:eastAsia="en-GB"/>
        </w:rPr>
      </w:pPr>
      <w:r>
        <w:rPr>
          <w:rFonts w:asciiTheme="minorHAnsi" w:hAnsiTheme="minorHAnsi"/>
          <w:lang w:eastAsia="en-GB"/>
        </w:rPr>
        <w:lastRenderedPageBreak/>
        <w:t xml:space="preserve">Sempre dalle fonti contabili obbligatorie di ciascun soggetto proprietario </w:t>
      </w:r>
      <w:r w:rsidR="004A77C6">
        <w:rPr>
          <w:rFonts w:asciiTheme="minorHAnsi" w:hAnsiTheme="minorHAnsi"/>
          <w:lang w:eastAsia="en-GB"/>
        </w:rPr>
        <w:t>sono stati desunti i valori dei contributi a fondo perduto incassati per la realizzazione delle infrastrutture stesse.</w:t>
      </w:r>
    </w:p>
    <w:p w14:paraId="5AE1B77C" w14:textId="77777777" w:rsidR="00A345A3" w:rsidRDefault="00A345A3" w:rsidP="00A345A3">
      <w:pPr>
        <w:rPr>
          <w:rFonts w:asciiTheme="minorHAnsi" w:hAnsiTheme="minorHAnsi"/>
          <w:lang w:eastAsia="en-GB"/>
        </w:rPr>
      </w:pPr>
      <w:r>
        <w:rPr>
          <w:rFonts w:asciiTheme="minorHAnsi" w:hAnsiTheme="minorHAnsi"/>
          <w:lang w:eastAsia="en-GB"/>
        </w:rPr>
        <w:t xml:space="preserve">In particolare, </w:t>
      </w:r>
      <w:r w:rsidRPr="004A77C6">
        <w:rPr>
          <w:rFonts w:asciiTheme="minorHAnsi" w:hAnsiTheme="minorHAnsi"/>
          <w:u w:val="single"/>
          <w:lang w:eastAsia="en-GB"/>
        </w:rPr>
        <w:t>ai fini dei calcoli del conguaglio per l’anno 2018</w:t>
      </w:r>
      <w:r w:rsidRPr="004A77C6">
        <w:rPr>
          <w:rFonts w:asciiTheme="minorHAnsi" w:hAnsiTheme="minorHAnsi"/>
          <w:lang w:eastAsia="en-GB"/>
        </w:rPr>
        <w:t xml:space="preserve"> si sono ricavati</w:t>
      </w:r>
      <w:r>
        <w:rPr>
          <w:rFonts w:asciiTheme="minorHAnsi" w:hAnsiTheme="minorHAnsi"/>
          <w:lang w:eastAsia="en-GB"/>
        </w:rPr>
        <w:t>:</w:t>
      </w:r>
    </w:p>
    <w:p w14:paraId="2048FEF1"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per ogni incremento patrimoniale</w:t>
      </w:r>
      <w:r>
        <w:rPr>
          <w:rFonts w:asciiTheme="minorHAnsi" w:hAnsiTheme="minorHAnsi"/>
          <w:szCs w:val="24"/>
          <w:lang w:eastAsia="en-GB"/>
        </w:rPr>
        <w:t xml:space="preserve"> in esercizio al 31/12/2017</w:t>
      </w:r>
      <w:r w:rsidRPr="004A77C6">
        <w:rPr>
          <w:rFonts w:asciiTheme="minorHAnsi" w:hAnsiTheme="minorHAnsi"/>
          <w:szCs w:val="24"/>
          <w:lang w:eastAsia="en-GB"/>
        </w:rPr>
        <w:t>:</w:t>
      </w:r>
    </w:p>
    <w:p w14:paraId="2B6936CC" w14:textId="77777777" w:rsidR="00A345A3" w:rsidRDefault="00A345A3" w:rsidP="00CB19B5">
      <w:pPr>
        <w:pStyle w:val="Paragrafoelenco"/>
        <w:numPr>
          <w:ilvl w:val="1"/>
          <w:numId w:val="7"/>
        </w:numPr>
        <w:jc w:val="both"/>
        <w:rPr>
          <w:szCs w:val="24"/>
          <w:lang w:eastAsia="en-GB"/>
        </w:rPr>
      </w:pPr>
      <w:r>
        <w:rPr>
          <w:szCs w:val="24"/>
          <w:lang w:eastAsia="en-GB"/>
        </w:rPr>
        <w:t>L’anno di entrata in esercizio del cespite</w:t>
      </w:r>
    </w:p>
    <w:p w14:paraId="7E680261"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cost</w:t>
      </w:r>
      <w:r>
        <w:rPr>
          <w:szCs w:val="24"/>
          <w:lang w:eastAsia="en-GB"/>
        </w:rPr>
        <w:t>o</w:t>
      </w:r>
      <w:r w:rsidRPr="00004B7D">
        <w:rPr>
          <w:szCs w:val="24"/>
          <w:lang w:eastAsia="en-GB"/>
        </w:rPr>
        <w:t xml:space="preserve"> storic</w:t>
      </w:r>
      <w:r>
        <w:rPr>
          <w:szCs w:val="24"/>
          <w:lang w:eastAsia="en-GB"/>
        </w:rPr>
        <w:t>o, come sopra definito</w:t>
      </w:r>
    </w:p>
    <w:p w14:paraId="77302E02" w14:textId="77777777" w:rsidR="00A345A3" w:rsidRDefault="00A345A3" w:rsidP="00CB19B5">
      <w:pPr>
        <w:pStyle w:val="Paragrafoelenco"/>
        <w:numPr>
          <w:ilvl w:val="1"/>
          <w:numId w:val="7"/>
        </w:numPr>
        <w:jc w:val="both"/>
        <w:rPr>
          <w:szCs w:val="24"/>
          <w:lang w:eastAsia="en-GB"/>
        </w:rPr>
      </w:pPr>
      <w:r>
        <w:rPr>
          <w:szCs w:val="24"/>
          <w:lang w:eastAsia="en-GB"/>
        </w:rPr>
        <w:t>Il fondo di ammortamento al 31/12/2017</w:t>
      </w:r>
    </w:p>
    <w:p w14:paraId="0E61FCCA"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 xml:space="preserve">per ogni </w:t>
      </w:r>
      <w:r>
        <w:rPr>
          <w:rFonts w:asciiTheme="minorHAnsi" w:hAnsiTheme="minorHAnsi"/>
          <w:szCs w:val="24"/>
          <w:lang w:eastAsia="en-GB"/>
        </w:rPr>
        <w:t>contributo a fondo perduto incassato fino all’anno 2017</w:t>
      </w:r>
      <w:r w:rsidRPr="004A77C6">
        <w:rPr>
          <w:rFonts w:asciiTheme="minorHAnsi" w:hAnsiTheme="minorHAnsi"/>
          <w:szCs w:val="24"/>
          <w:lang w:eastAsia="en-GB"/>
        </w:rPr>
        <w:t>:</w:t>
      </w:r>
    </w:p>
    <w:p w14:paraId="602B80D0" w14:textId="77777777" w:rsidR="00A345A3" w:rsidRDefault="00A345A3" w:rsidP="00CB19B5">
      <w:pPr>
        <w:pStyle w:val="Paragrafoelenco"/>
        <w:numPr>
          <w:ilvl w:val="1"/>
          <w:numId w:val="7"/>
        </w:numPr>
        <w:jc w:val="both"/>
        <w:rPr>
          <w:szCs w:val="24"/>
          <w:lang w:eastAsia="en-GB"/>
        </w:rPr>
      </w:pPr>
      <w:r>
        <w:rPr>
          <w:szCs w:val="24"/>
          <w:lang w:eastAsia="en-GB"/>
        </w:rPr>
        <w:t>L’anno di incasso</w:t>
      </w:r>
    </w:p>
    <w:p w14:paraId="7FF98493"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w:t>
      </w:r>
      <w:r>
        <w:rPr>
          <w:szCs w:val="24"/>
          <w:lang w:eastAsia="en-GB"/>
        </w:rPr>
        <w:t>valore del contributo</w:t>
      </w:r>
    </w:p>
    <w:p w14:paraId="225FF384" w14:textId="77777777" w:rsidR="004A77C6" w:rsidRPr="00004B7D" w:rsidRDefault="00A345A3" w:rsidP="00CB19B5">
      <w:pPr>
        <w:pStyle w:val="Paragrafoelenco"/>
        <w:numPr>
          <w:ilvl w:val="1"/>
          <w:numId w:val="7"/>
        </w:numPr>
        <w:jc w:val="both"/>
        <w:rPr>
          <w:szCs w:val="24"/>
          <w:lang w:eastAsia="en-GB"/>
        </w:rPr>
      </w:pPr>
      <w:r>
        <w:rPr>
          <w:lang w:eastAsia="en-GB"/>
        </w:rPr>
        <w:t>Il fondo di ammortamento del contributo al 31/12/2017</w:t>
      </w:r>
    </w:p>
    <w:p w14:paraId="560DC906" w14:textId="77777777" w:rsidR="004A77C6" w:rsidRDefault="002C10AE" w:rsidP="002C10AE">
      <w:pPr>
        <w:rPr>
          <w:lang w:eastAsia="en-GB"/>
        </w:rPr>
      </w:pPr>
      <w:r w:rsidRPr="00230F24">
        <w:rPr>
          <w:u w:val="single"/>
          <w:lang w:eastAsia="en-GB"/>
        </w:rPr>
        <w:t>Ai fini del calcolo dei costi di capitale (</w:t>
      </w:r>
      <w:r w:rsidRPr="00230F24">
        <w:rPr>
          <w:i/>
          <w:iCs/>
          <w:u w:val="single"/>
          <w:lang w:eastAsia="en-GB"/>
        </w:rPr>
        <w:t>CK</w:t>
      </w:r>
      <w:r w:rsidRPr="00230F24">
        <w:rPr>
          <w:u w:val="single"/>
          <w:lang w:eastAsia="en-GB"/>
        </w:rPr>
        <w:t>) per la determinazione delle entrate tariffarie per l’anno 2020</w:t>
      </w:r>
      <w:r>
        <w:rPr>
          <w:lang w:eastAsia="en-GB"/>
        </w:rPr>
        <w:t>, le stratificazioni determinate precedentemente sono state aggiornate tenendo conto delle variazioni occorse nell’anno 2018 in termini di nuovi investimenti, dismissioni, riclassifiche e contributi</w:t>
      </w:r>
      <w:r w:rsidR="008D7531">
        <w:rPr>
          <w:lang w:eastAsia="en-GB"/>
        </w:rPr>
        <w:t xml:space="preserve"> incassati</w:t>
      </w:r>
      <w:r>
        <w:rPr>
          <w:lang w:eastAsia="en-GB"/>
        </w:rPr>
        <w:t>.</w:t>
      </w:r>
    </w:p>
    <w:p w14:paraId="69E5BC40" w14:textId="77777777" w:rsidR="00B049D5" w:rsidRDefault="008D7531" w:rsidP="00A94BD8">
      <w:pPr>
        <w:rPr>
          <w:rFonts w:asciiTheme="minorHAnsi" w:hAnsiTheme="minorHAnsi"/>
          <w:lang w:eastAsia="en-GB"/>
        </w:rPr>
      </w:pPr>
      <w:r>
        <w:rPr>
          <w:rFonts w:asciiTheme="minorHAnsi" w:hAnsiTheme="minorHAnsi"/>
          <w:lang w:eastAsia="en-GB"/>
        </w:rPr>
        <w:t xml:space="preserve">Conformemente a quanto previsto dal MTR, </w:t>
      </w:r>
      <w:r w:rsidR="00B049D5">
        <w:rPr>
          <w:rFonts w:asciiTheme="minorHAnsi" w:hAnsiTheme="minorHAnsi"/>
          <w:lang w:eastAsia="en-GB"/>
        </w:rPr>
        <w:t>per il calcolo delle entrate tariffarie dell’anno 2020 e del conguaglio 2018:</w:t>
      </w:r>
    </w:p>
    <w:p w14:paraId="2D73D19F" w14:textId="77777777" w:rsid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la</w:t>
      </w:r>
      <w:r w:rsidR="008D7531" w:rsidRPr="00B049D5">
        <w:rPr>
          <w:rFonts w:asciiTheme="minorHAnsi" w:hAnsiTheme="minorHAnsi"/>
          <w:lang w:eastAsia="en-GB"/>
        </w:rPr>
        <w:t xml:space="preserve"> quota di ammortamento annua (</w:t>
      </w:r>
      <w:r w:rsidR="008D7531" w:rsidRPr="00B049D5">
        <w:rPr>
          <w:rFonts w:asciiTheme="minorHAnsi" w:hAnsiTheme="minorHAnsi"/>
          <w:i/>
          <w:iCs/>
          <w:lang w:eastAsia="en-GB"/>
        </w:rPr>
        <w:t>Amm</w:t>
      </w:r>
      <w:r w:rsidR="008D7531" w:rsidRPr="00B049D5">
        <w:rPr>
          <w:rFonts w:asciiTheme="minorHAnsi" w:hAnsiTheme="minorHAnsi"/>
          <w:i/>
          <w:iCs/>
          <w:vertAlign w:val="subscript"/>
          <w:lang w:eastAsia="en-GB"/>
        </w:rPr>
        <w:t>a</w:t>
      </w:r>
      <w:r w:rsidR="008D7531" w:rsidRPr="00B049D5">
        <w:rPr>
          <w:rFonts w:asciiTheme="minorHAnsi" w:hAnsiTheme="minorHAnsi"/>
          <w:lang w:eastAsia="en-GB"/>
        </w:rPr>
        <w:t>) considerata è stata determinata in ragione delle vite utili definite dal MTR</w:t>
      </w:r>
      <w:r w:rsidRPr="00B049D5">
        <w:rPr>
          <w:rFonts w:asciiTheme="minorHAnsi" w:hAnsiTheme="minorHAnsi"/>
          <w:lang w:eastAsia="en-GB"/>
        </w:rPr>
        <w:t xml:space="preserve"> per i soli cespiti che per i quali non si è completato il processo di ammortamento e al netto dei contributi a fondo perduto percepiti;</w:t>
      </w:r>
    </w:p>
    <w:p w14:paraId="4F3D8997" w14:textId="77777777" w:rsidR="00B049D5" w:rsidRP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il valore delle immobilizzazioni nette (</w:t>
      </w:r>
      <w:r w:rsidRPr="00B049D5">
        <w:rPr>
          <w:rFonts w:asciiTheme="minorHAnsi" w:hAnsiTheme="minorHAnsi"/>
          <w:i/>
          <w:iCs/>
          <w:lang w:eastAsia="en-GB"/>
        </w:rPr>
        <w:t>IMN</w:t>
      </w:r>
      <w:r w:rsidRPr="00B049D5">
        <w:rPr>
          <w:rFonts w:asciiTheme="minorHAnsi" w:hAnsiTheme="minorHAnsi"/>
          <w:i/>
          <w:iCs/>
          <w:vertAlign w:val="subscript"/>
          <w:lang w:eastAsia="en-GB"/>
        </w:rPr>
        <w:t>a</w:t>
      </w:r>
      <w:r w:rsidRPr="00B049D5">
        <w:rPr>
          <w:rFonts w:asciiTheme="minorHAnsi" w:hAnsiTheme="minorHAnsi"/>
          <w:lang w:eastAsia="en-GB"/>
        </w:rPr>
        <w:t xml:space="preserve">) considerato </w:t>
      </w:r>
      <w:r>
        <w:rPr>
          <w:rFonts w:asciiTheme="minorHAnsi" w:hAnsiTheme="minorHAnsi"/>
          <w:lang w:eastAsia="en-GB"/>
        </w:rPr>
        <w:t xml:space="preserve">è stato determinato incrementando opportunamente il fondo di ammortamento al 31/12/2017 desunto dalle fonti contabili obbligatorie delle quote di ammortamento </w:t>
      </w:r>
      <w:r w:rsidRPr="00B049D5">
        <w:rPr>
          <w:rFonts w:asciiTheme="minorHAnsi" w:hAnsiTheme="minorHAnsi"/>
          <w:i/>
          <w:iCs/>
          <w:lang w:eastAsia="en-GB"/>
        </w:rPr>
        <w:t>Amm</w:t>
      </w:r>
      <w:r w:rsidRPr="00B049D5">
        <w:rPr>
          <w:rFonts w:asciiTheme="minorHAnsi" w:hAnsiTheme="minorHAnsi"/>
          <w:i/>
          <w:iCs/>
          <w:vertAlign w:val="subscript"/>
          <w:lang w:eastAsia="en-GB"/>
        </w:rPr>
        <w:t>a</w:t>
      </w:r>
      <w:r>
        <w:rPr>
          <w:rFonts w:asciiTheme="minorHAnsi" w:hAnsiTheme="minorHAnsi"/>
          <w:lang w:eastAsia="en-GB"/>
        </w:rPr>
        <w:t xml:space="preserve"> di cui sopra.</w:t>
      </w:r>
      <w:r w:rsidR="00A264D1">
        <w:rPr>
          <w:rFonts w:asciiTheme="minorHAnsi" w:hAnsiTheme="minorHAnsi"/>
          <w:lang w:eastAsia="en-GB"/>
        </w:rPr>
        <w:t xml:space="preserve"> Tale valore è al netto dei contributi a fondo perduto.</w:t>
      </w:r>
    </w:p>
    <w:p w14:paraId="06D454FA" w14:textId="77777777" w:rsidR="002C10AE" w:rsidRDefault="009852CB" w:rsidP="00A94BD8">
      <w:pPr>
        <w:rPr>
          <w:rFonts w:asciiTheme="minorHAnsi" w:hAnsiTheme="minorHAnsi"/>
          <w:lang w:eastAsia="en-GB"/>
        </w:rPr>
      </w:pPr>
      <w:r>
        <w:rPr>
          <w:rFonts w:asciiTheme="minorHAnsi" w:hAnsiTheme="minorHAnsi"/>
          <w:lang w:eastAsia="en-GB"/>
        </w:rPr>
        <w:t>Nell</w:t>
      </w:r>
      <w:r w:rsidR="00A264D1">
        <w:rPr>
          <w:rFonts w:asciiTheme="minorHAnsi" w:hAnsiTheme="minorHAnsi"/>
          <w:lang w:eastAsia="en-GB"/>
        </w:rPr>
        <w:t xml:space="preserve">e due </w:t>
      </w:r>
      <w:r>
        <w:rPr>
          <w:rFonts w:asciiTheme="minorHAnsi" w:hAnsiTheme="minorHAnsi"/>
          <w:lang w:eastAsia="en-GB"/>
        </w:rPr>
        <w:t>tabell</w:t>
      </w:r>
      <w:r w:rsidR="00A264D1">
        <w:rPr>
          <w:rFonts w:asciiTheme="minorHAnsi" w:hAnsiTheme="minorHAnsi"/>
          <w:lang w:eastAsia="en-GB"/>
        </w:rPr>
        <w:t>e</w:t>
      </w:r>
      <w:r>
        <w:rPr>
          <w:rFonts w:asciiTheme="minorHAnsi" w:hAnsiTheme="minorHAnsi"/>
          <w:lang w:eastAsia="en-GB"/>
        </w:rPr>
        <w:t xml:space="preserve"> che segu</w:t>
      </w:r>
      <w:r w:rsidR="00A264D1">
        <w:rPr>
          <w:rFonts w:asciiTheme="minorHAnsi" w:hAnsiTheme="minorHAnsi"/>
          <w:lang w:eastAsia="en-GB"/>
        </w:rPr>
        <w:t>ono</w:t>
      </w:r>
      <w:r>
        <w:rPr>
          <w:rFonts w:asciiTheme="minorHAnsi" w:hAnsiTheme="minorHAnsi"/>
          <w:lang w:eastAsia="en-GB"/>
        </w:rPr>
        <w:t xml:space="preserve"> so</w:t>
      </w:r>
      <w:r w:rsidR="00A264D1">
        <w:rPr>
          <w:rFonts w:asciiTheme="minorHAnsi" w:hAnsiTheme="minorHAnsi"/>
          <w:lang w:eastAsia="en-GB"/>
        </w:rPr>
        <w:t>no sintetizzati i valori delle componenti tariffarie riferite ai cespiti utilizzate per il calcolo dei costi di capitale.</w:t>
      </w:r>
    </w:p>
    <w:p w14:paraId="1ACCBC9C" w14:textId="77777777" w:rsidR="001B48E5" w:rsidRDefault="003D115F" w:rsidP="00A94BD8">
      <w:pPr>
        <w:rPr>
          <w:rFonts w:asciiTheme="minorHAnsi" w:hAnsiTheme="minorHAnsi"/>
          <w:lang w:eastAsia="en-GB"/>
        </w:rPr>
      </w:pPr>
      <w:r w:rsidRPr="00CB19B5">
        <w:rPr>
          <w:rFonts w:asciiTheme="minorHAnsi" w:hAnsiTheme="minorHAnsi"/>
          <w:lang w:eastAsia="en-GB"/>
        </w:rPr>
        <w:t>CEC non risulta essere proprietaria di cespiti</w:t>
      </w:r>
      <w:r w:rsidR="00C67D73" w:rsidRPr="00CB19B5">
        <w:rPr>
          <w:rFonts w:asciiTheme="minorHAnsi" w:hAnsiTheme="minorHAnsi"/>
          <w:lang w:eastAsia="en-GB"/>
        </w:rPr>
        <w:t xml:space="preserve"> da ammortizzare che possano essere utilizzati direttamente per il servizio, </w:t>
      </w:r>
      <w:r w:rsidRPr="00CB19B5">
        <w:rPr>
          <w:rFonts w:asciiTheme="minorHAnsi" w:hAnsiTheme="minorHAnsi"/>
          <w:lang w:eastAsia="en-GB"/>
        </w:rPr>
        <w:t>pertanto i valori utilizzati sono quelli che derivano</w:t>
      </w:r>
      <w:r w:rsidR="001B48E5" w:rsidRPr="00CB19B5">
        <w:rPr>
          <w:rFonts w:asciiTheme="minorHAnsi" w:hAnsiTheme="minorHAnsi"/>
          <w:lang w:eastAsia="en-GB"/>
        </w:rPr>
        <w:t xml:space="preserve"> dai bilanci de</w:t>
      </w:r>
      <w:r w:rsidR="00CD2FED">
        <w:rPr>
          <w:rFonts w:asciiTheme="minorHAnsi" w:hAnsiTheme="minorHAnsi"/>
          <w:lang w:eastAsia="en-GB"/>
        </w:rPr>
        <w:t>l Gestore</w:t>
      </w:r>
      <w:r w:rsidRPr="00CB19B5">
        <w:rPr>
          <w:rFonts w:asciiTheme="minorHAnsi" w:hAnsiTheme="minorHAnsi"/>
          <w:lang w:eastAsia="en-GB"/>
        </w:rPr>
        <w:t xml:space="preserve"> operanti sui comuni del lotto </w:t>
      </w:r>
      <w:r w:rsidR="007B2E8C">
        <w:rPr>
          <w:rFonts w:asciiTheme="minorHAnsi" w:hAnsiTheme="minorHAnsi"/>
          <w:lang w:eastAsia="en-GB"/>
        </w:rPr>
        <w:t>Valli Maira e Grana</w:t>
      </w:r>
      <w:r w:rsidRPr="00CB19B5">
        <w:rPr>
          <w:rFonts w:asciiTheme="minorHAnsi" w:hAnsiTheme="minorHAnsi"/>
          <w:lang w:eastAsia="en-GB"/>
        </w:rPr>
        <w:t xml:space="preserve">, valori che sono </w:t>
      </w:r>
      <w:r w:rsidR="001B48E5" w:rsidRPr="00CB19B5">
        <w:rPr>
          <w:rFonts w:asciiTheme="minorHAnsi" w:hAnsiTheme="minorHAnsi"/>
          <w:lang w:eastAsia="en-GB"/>
        </w:rPr>
        <w:t>rappresentati nelle Relazioni di Accompagnamento degli stessi a cui</w:t>
      </w:r>
      <w:r w:rsidR="001B48E5">
        <w:rPr>
          <w:rFonts w:asciiTheme="minorHAnsi" w:hAnsiTheme="minorHAnsi"/>
          <w:lang w:eastAsia="en-GB"/>
        </w:rPr>
        <w:t xml:space="preserve"> si rimanda per le specifiche informazioni di dettaglio.</w:t>
      </w:r>
    </w:p>
    <w:p w14:paraId="3B6C7295" w14:textId="77777777" w:rsidR="00415E03" w:rsidRDefault="00415E03" w:rsidP="00A94BD8">
      <w:pPr>
        <w:rPr>
          <w:rFonts w:asciiTheme="minorHAnsi" w:hAnsiTheme="minorHAnsi"/>
          <w:lang w:eastAsia="en-GB"/>
        </w:rPr>
      </w:pPr>
    </w:p>
    <w:p w14:paraId="4A7483A9" w14:textId="77777777" w:rsidR="00882687" w:rsidRPr="00882687" w:rsidRDefault="00A264D1" w:rsidP="00367D0D">
      <w:pPr>
        <w:pStyle w:val="Didascalia"/>
      </w:pPr>
      <w:r w:rsidRPr="004B55F8">
        <w:t xml:space="preserve">Tabella </w:t>
      </w:r>
      <w:r w:rsidR="00583CE5" w:rsidRPr="004B55F8">
        <w:rPr>
          <w:noProof/>
        </w:rPr>
        <w:fldChar w:fldCharType="begin"/>
      </w:r>
      <w:r w:rsidR="00583CE5" w:rsidRPr="004B55F8">
        <w:rPr>
          <w:noProof/>
        </w:rPr>
        <w:instrText xml:space="preserve"> SEQ Tabella \* ARABIC </w:instrText>
      </w:r>
      <w:r w:rsidR="00583CE5" w:rsidRPr="004B55F8">
        <w:rPr>
          <w:noProof/>
        </w:rPr>
        <w:fldChar w:fldCharType="separate"/>
      </w:r>
      <w:r w:rsidR="009926DE" w:rsidRPr="004B55F8">
        <w:rPr>
          <w:noProof/>
        </w:rPr>
        <w:t>4</w:t>
      </w:r>
      <w:r w:rsidR="00583CE5" w:rsidRPr="004B55F8">
        <w:rPr>
          <w:noProof/>
        </w:rPr>
        <w:fldChar w:fldCharType="end"/>
      </w:r>
      <w:r w:rsidRPr="004B55F8">
        <w:t xml:space="preserve"> Componenti connesse ai cespiti rilevanti per la determinazione delle entrate tariffarie di competenza dell’anno 2020</w:t>
      </w:r>
      <w:r w:rsidR="007671EF" w:rsidRPr="004B55F8">
        <w:t xml:space="preserve"> – </w:t>
      </w:r>
      <w:r w:rsidR="001E4BFE" w:rsidRPr="004B55F8">
        <w:t xml:space="preserve">Lotto </w:t>
      </w:r>
      <w:r w:rsidR="007B2E8C" w:rsidRPr="004B55F8">
        <w:t>VALLI MAIRA E GRANA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44CD0CA5"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72EBD9CF" w14:textId="77777777" w:rsidR="00A264D1" w:rsidRPr="00A264D1" w:rsidRDefault="00A264D1" w:rsidP="00A264D1">
            <w:pPr>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5D0FDE39"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A51105" w:rsidRPr="00D913B6" w14:paraId="7C28960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096AEAEA" w14:textId="77777777" w:rsidR="00A51105" w:rsidRPr="002564AA" w:rsidRDefault="00A51105" w:rsidP="00A51105">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 xml:space="preserve">2020 </w:t>
            </w:r>
          </w:p>
        </w:tc>
        <w:tc>
          <w:tcPr>
            <w:tcW w:w="2564" w:type="pct"/>
          </w:tcPr>
          <w:p w14:paraId="65C2C5BB"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49.690 </w:t>
            </w:r>
          </w:p>
        </w:tc>
      </w:tr>
      <w:tr w:rsidR="00A51105" w:rsidRPr="00D913B6" w14:paraId="7D6EB41C"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C0FCD54" w14:textId="77777777" w:rsidR="00A51105" w:rsidRPr="002564AA" w:rsidRDefault="00A51105" w:rsidP="00A51105">
            <w:pPr>
              <w:jc w:val="left"/>
              <w:rPr>
                <w:rFonts w:asciiTheme="minorHAnsi" w:hAnsiTheme="minorHAnsi"/>
                <w:vertAlign w:val="subscript"/>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 2018)</w:t>
            </w:r>
          </w:p>
        </w:tc>
        <w:tc>
          <w:tcPr>
            <w:tcW w:w="2564" w:type="pct"/>
          </w:tcPr>
          <w:p w14:paraId="4544DA12"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14.340 </w:t>
            </w:r>
          </w:p>
        </w:tc>
      </w:tr>
      <w:tr w:rsidR="00A51105" w:rsidRPr="00D913B6" w14:paraId="0031AF97"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B0092A1" w14:textId="77777777" w:rsidR="00A51105" w:rsidRPr="00A20BDA" w:rsidRDefault="00A51105" w:rsidP="00A51105">
            <w:pPr>
              <w:jc w:val="left"/>
              <w:rPr>
                <w:rFonts w:asciiTheme="minorHAnsi" w:hAnsiTheme="minorHAnsi"/>
                <w:b w:val="0"/>
                <w:bCs w:val="0"/>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(IP&lt;2018)</w:t>
            </w:r>
          </w:p>
        </w:tc>
        <w:tc>
          <w:tcPr>
            <w:tcW w:w="2564" w:type="pct"/>
          </w:tcPr>
          <w:p w14:paraId="0005F918"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35.350 </w:t>
            </w:r>
          </w:p>
        </w:tc>
      </w:tr>
      <w:tr w:rsidR="00A51105" w:rsidRPr="00D913B6" w14:paraId="45494F7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0D29EB3B" w14:textId="77777777" w:rsidR="00A51105" w:rsidRPr="00D913B6" w:rsidRDefault="00A51105" w:rsidP="00A51105">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2020</w:t>
            </w:r>
          </w:p>
        </w:tc>
        <w:tc>
          <w:tcPr>
            <w:tcW w:w="2564" w:type="pct"/>
          </w:tcPr>
          <w:p w14:paraId="1C32007C"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12.034 </w:t>
            </w:r>
          </w:p>
        </w:tc>
      </w:tr>
      <w:tr w:rsidR="00A51105" w:rsidRPr="00D913B6" w14:paraId="6FCD4C59"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87B065A" w14:textId="77777777" w:rsidR="00A51105" w:rsidRPr="00D913B6" w:rsidRDefault="00A51105" w:rsidP="00A51105">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2020 (1° anno)</w:t>
            </w:r>
          </w:p>
        </w:tc>
        <w:tc>
          <w:tcPr>
            <w:tcW w:w="2564" w:type="pct"/>
          </w:tcPr>
          <w:p w14:paraId="12AF72A1"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   </w:t>
            </w:r>
          </w:p>
        </w:tc>
      </w:tr>
      <w:tr w:rsidR="00A51105" w:rsidRPr="00B74561" w14:paraId="7D6F5018"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1F6E593" w14:textId="77777777" w:rsidR="00A51105" w:rsidRPr="00A20BDA" w:rsidRDefault="00A51105" w:rsidP="00A51105">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67D1F9F6" w14:textId="77777777" w:rsidR="00A51105" w:rsidRPr="00B74561" w:rsidRDefault="00A51105" w:rsidP="00A51105">
            <w:pPr>
              <w:jc w:val="right"/>
              <w:cnfStyle w:val="000000000000" w:firstRow="0" w:lastRow="0" w:firstColumn="0" w:lastColumn="0" w:oddVBand="0" w:evenVBand="0" w:oddHBand="0" w:evenHBand="0" w:firstRowFirstColumn="0" w:firstRowLastColumn="0" w:lastRowFirstColumn="0" w:lastRowLastColumn="0"/>
            </w:pPr>
            <w:r w:rsidRPr="0021008C">
              <w:t xml:space="preserve"> -   </w:t>
            </w:r>
          </w:p>
        </w:tc>
      </w:tr>
      <w:tr w:rsidR="00A51105" w:rsidRPr="00B74561" w14:paraId="3B5E71A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260A0FB" w14:textId="77777777" w:rsidR="00A51105" w:rsidRPr="00A20BDA" w:rsidRDefault="00A51105" w:rsidP="00A51105">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400C8531" w14:textId="77777777" w:rsidR="00A51105" w:rsidRPr="00B74561" w:rsidRDefault="00A51105" w:rsidP="00A51105">
            <w:pPr>
              <w:jc w:val="right"/>
              <w:cnfStyle w:val="000000000000" w:firstRow="0" w:lastRow="0" w:firstColumn="0" w:lastColumn="0" w:oddVBand="0" w:evenVBand="0" w:oddHBand="0" w:evenHBand="0" w:firstRowFirstColumn="0" w:firstRowLastColumn="0" w:lastRowFirstColumn="0" w:lastRowLastColumn="0"/>
            </w:pPr>
            <w:r w:rsidRPr="0021008C">
              <w:t xml:space="preserve"> -   </w:t>
            </w:r>
          </w:p>
        </w:tc>
      </w:tr>
      <w:tr w:rsidR="00A51105" w:rsidRPr="00D913B6" w14:paraId="4596CAC6"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13A1C9C" w14:textId="77777777" w:rsidR="00A51105" w:rsidRPr="00D913B6" w:rsidRDefault="00A51105" w:rsidP="00A51105">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1D684E76" w14:textId="77777777" w:rsidR="00A51105" w:rsidRPr="00D913B6" w:rsidRDefault="00A51105" w:rsidP="00A5110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1008C">
              <w:t xml:space="preserve"> -   </w:t>
            </w:r>
          </w:p>
        </w:tc>
      </w:tr>
    </w:tbl>
    <w:p w14:paraId="44EDF9D4" w14:textId="77777777" w:rsidR="00415E03" w:rsidRDefault="00415E03" w:rsidP="00A264D1">
      <w:pPr>
        <w:pStyle w:val="Didascalia"/>
      </w:pPr>
    </w:p>
    <w:p w14:paraId="78960311" w14:textId="77777777" w:rsidR="004B55F8" w:rsidRDefault="004B55F8" w:rsidP="00A264D1">
      <w:pPr>
        <w:pStyle w:val="Didascalia"/>
        <w:rPr>
          <w:i w:val="0"/>
          <w:iCs w:val="0"/>
          <w:sz w:val="20"/>
          <w:szCs w:val="24"/>
        </w:rPr>
      </w:pPr>
    </w:p>
    <w:p w14:paraId="2E00A733" w14:textId="77777777" w:rsidR="004B55F8" w:rsidRPr="004B55F8" w:rsidRDefault="004B55F8" w:rsidP="004B55F8"/>
    <w:p w14:paraId="6A1B2B76" w14:textId="77777777" w:rsidR="00A264D1" w:rsidRDefault="00A264D1" w:rsidP="00A264D1">
      <w:pPr>
        <w:pStyle w:val="Didascalia"/>
        <w:rPr>
          <w:rFonts w:asciiTheme="minorHAnsi" w:hAnsiTheme="minorHAnsi"/>
          <w:lang w:eastAsia="en-GB"/>
        </w:rPr>
      </w:pPr>
      <w:r w:rsidRPr="004B55F8">
        <w:lastRenderedPageBreak/>
        <w:t xml:space="preserve">Tabella </w:t>
      </w:r>
      <w:r w:rsidR="00583CE5" w:rsidRPr="004B55F8">
        <w:rPr>
          <w:noProof/>
        </w:rPr>
        <w:fldChar w:fldCharType="begin"/>
      </w:r>
      <w:r w:rsidR="00583CE5" w:rsidRPr="004B55F8">
        <w:rPr>
          <w:noProof/>
        </w:rPr>
        <w:instrText xml:space="preserve"> SEQ Tabella \* ARABIC </w:instrText>
      </w:r>
      <w:r w:rsidR="00583CE5" w:rsidRPr="004B55F8">
        <w:rPr>
          <w:noProof/>
        </w:rPr>
        <w:fldChar w:fldCharType="separate"/>
      </w:r>
      <w:r w:rsidR="009926DE" w:rsidRPr="004B55F8">
        <w:rPr>
          <w:noProof/>
        </w:rPr>
        <w:t>5</w:t>
      </w:r>
      <w:r w:rsidR="00583CE5" w:rsidRPr="004B55F8">
        <w:rPr>
          <w:noProof/>
        </w:rPr>
        <w:fldChar w:fldCharType="end"/>
      </w:r>
      <w:r w:rsidRPr="004B55F8">
        <w:t xml:space="preserve"> Componenti connesse ai cespiti rilevanti per la determinazione del conguaglio dell’anno 2018</w:t>
      </w:r>
      <w:r w:rsidR="001E4BFE" w:rsidRPr="004B55F8">
        <w:t xml:space="preserve"> -  Lotto </w:t>
      </w:r>
      <w:r w:rsidR="007B2E8C" w:rsidRPr="004B55F8">
        <w:t>VALLI MAIRA E GRANA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7DD9401C"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2F5F4933" w14:textId="77777777" w:rsidR="00A264D1" w:rsidRPr="00A264D1" w:rsidRDefault="00A264D1" w:rsidP="00230F24">
            <w:pPr>
              <w:keepNext/>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7588029D"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367D0D" w:rsidRPr="00D913B6" w14:paraId="7634569E"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27D74C6" w14:textId="77777777" w:rsidR="00367D0D" w:rsidRPr="002564AA" w:rsidRDefault="00367D0D" w:rsidP="00367D0D">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2018</w:t>
            </w:r>
          </w:p>
        </w:tc>
        <w:tc>
          <w:tcPr>
            <w:tcW w:w="2564" w:type="pct"/>
          </w:tcPr>
          <w:p w14:paraId="71F59A7B" w14:textId="77777777" w:rsidR="00367D0D" w:rsidRPr="00D913B6" w:rsidRDefault="00367D0D" w:rsidP="00367D0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B7CF7">
              <w:t xml:space="preserve"> 56.388 </w:t>
            </w:r>
          </w:p>
        </w:tc>
      </w:tr>
      <w:tr w:rsidR="00367D0D" w:rsidRPr="00D913B6" w14:paraId="28B63FE9"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0EBE801" w14:textId="77777777" w:rsidR="00367D0D" w:rsidRPr="00D913B6" w:rsidRDefault="00367D0D" w:rsidP="00367D0D">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2018</w:t>
            </w:r>
          </w:p>
        </w:tc>
        <w:tc>
          <w:tcPr>
            <w:tcW w:w="2564" w:type="pct"/>
          </w:tcPr>
          <w:p w14:paraId="05304AE7" w14:textId="77777777" w:rsidR="00367D0D" w:rsidRPr="00D913B6" w:rsidRDefault="00367D0D" w:rsidP="00367D0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B7CF7">
              <w:t xml:space="preserve"> 10.818 </w:t>
            </w:r>
          </w:p>
        </w:tc>
      </w:tr>
      <w:tr w:rsidR="00367D0D" w:rsidRPr="00D913B6" w14:paraId="38EA766F"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2BE85C3" w14:textId="77777777" w:rsidR="00367D0D" w:rsidRPr="00D913B6" w:rsidRDefault="00367D0D" w:rsidP="00367D0D">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2018 (1° anno)</w:t>
            </w:r>
          </w:p>
        </w:tc>
        <w:tc>
          <w:tcPr>
            <w:tcW w:w="2564" w:type="pct"/>
          </w:tcPr>
          <w:p w14:paraId="121E8BEB" w14:textId="77777777" w:rsidR="00367D0D" w:rsidRPr="00D913B6" w:rsidRDefault="00367D0D" w:rsidP="00367D0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B7CF7">
              <w:t xml:space="preserve"> -   </w:t>
            </w:r>
          </w:p>
        </w:tc>
      </w:tr>
      <w:tr w:rsidR="00367D0D" w:rsidRPr="00B74561" w14:paraId="296276E8"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5CE65C8" w14:textId="77777777" w:rsidR="00367D0D" w:rsidRPr="00A20BDA" w:rsidRDefault="00367D0D" w:rsidP="00367D0D">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2A235AE3" w14:textId="77777777" w:rsidR="00367D0D" w:rsidRPr="00B74561" w:rsidRDefault="00367D0D" w:rsidP="00367D0D">
            <w:pPr>
              <w:jc w:val="right"/>
              <w:cnfStyle w:val="000000000000" w:firstRow="0" w:lastRow="0" w:firstColumn="0" w:lastColumn="0" w:oddVBand="0" w:evenVBand="0" w:oddHBand="0" w:evenHBand="0" w:firstRowFirstColumn="0" w:firstRowLastColumn="0" w:lastRowFirstColumn="0" w:lastRowLastColumn="0"/>
            </w:pPr>
            <w:r w:rsidRPr="000B7CF7">
              <w:t xml:space="preserve"> -   </w:t>
            </w:r>
          </w:p>
        </w:tc>
      </w:tr>
      <w:tr w:rsidR="00367D0D" w:rsidRPr="00B74561" w14:paraId="6012C86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1785DD9" w14:textId="77777777" w:rsidR="00367D0D" w:rsidRPr="00A20BDA" w:rsidRDefault="00367D0D" w:rsidP="00367D0D">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41B5372E" w14:textId="77777777" w:rsidR="00367D0D" w:rsidRPr="00B74561" w:rsidRDefault="00367D0D" w:rsidP="00367D0D">
            <w:pPr>
              <w:jc w:val="right"/>
              <w:cnfStyle w:val="000000000000" w:firstRow="0" w:lastRow="0" w:firstColumn="0" w:lastColumn="0" w:oddVBand="0" w:evenVBand="0" w:oddHBand="0" w:evenHBand="0" w:firstRowFirstColumn="0" w:firstRowLastColumn="0" w:lastRowFirstColumn="0" w:lastRowLastColumn="0"/>
            </w:pPr>
            <w:r w:rsidRPr="000B7CF7">
              <w:t xml:space="preserve"> -   </w:t>
            </w:r>
          </w:p>
        </w:tc>
      </w:tr>
      <w:tr w:rsidR="00367D0D" w:rsidRPr="00D913B6" w14:paraId="6FBE0B80"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B9E4E4A" w14:textId="77777777" w:rsidR="00367D0D" w:rsidRPr="00D913B6" w:rsidRDefault="00367D0D" w:rsidP="00367D0D">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132E3BEF" w14:textId="77777777" w:rsidR="00367D0D" w:rsidRPr="00D913B6" w:rsidRDefault="00367D0D" w:rsidP="00367D0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B7CF7">
              <w:t xml:space="preserve"> -   </w:t>
            </w:r>
          </w:p>
        </w:tc>
      </w:tr>
    </w:tbl>
    <w:p w14:paraId="68CC18DF" w14:textId="77777777" w:rsidR="008035F0" w:rsidRDefault="00C42079" w:rsidP="00A94BD8">
      <w:pPr>
        <w:rPr>
          <w:rFonts w:asciiTheme="minorHAnsi" w:hAnsiTheme="minorHAnsi"/>
          <w:lang w:eastAsia="en-GB"/>
        </w:rPr>
      </w:pPr>
      <w:r>
        <w:rPr>
          <w:rFonts w:asciiTheme="minorHAnsi" w:hAnsiTheme="minorHAnsi"/>
          <w:lang w:eastAsia="en-GB"/>
        </w:rPr>
        <w:t xml:space="preserve">Infine, i valori della componente a copertura degli accantonamenti considerati per il calcolo delle entrate tariffarie di competenza dell’anno 2020 e del conguaglio 2018, sono stati desunti </w:t>
      </w:r>
      <w:r w:rsidR="0004534F">
        <w:rPr>
          <w:rFonts w:asciiTheme="minorHAnsi" w:hAnsiTheme="minorHAnsi"/>
          <w:lang w:eastAsia="en-GB"/>
        </w:rPr>
        <w:t>rispettivamente dal bilancio 2018 e 2017</w:t>
      </w:r>
      <w:r>
        <w:rPr>
          <w:rFonts w:asciiTheme="minorHAnsi" w:hAnsiTheme="minorHAnsi"/>
          <w:lang w:eastAsia="en-GB"/>
        </w:rPr>
        <w:t xml:space="preserve"> del gestore</w:t>
      </w:r>
      <w:r w:rsidR="008035F0">
        <w:rPr>
          <w:rFonts w:asciiTheme="minorHAnsi" w:hAnsiTheme="minorHAnsi"/>
          <w:lang w:eastAsia="en-GB"/>
        </w:rPr>
        <w:t xml:space="preserve"> in coerenza </w:t>
      </w:r>
      <w:r w:rsidR="00230F24">
        <w:rPr>
          <w:rFonts w:asciiTheme="minorHAnsi" w:hAnsiTheme="minorHAnsi"/>
          <w:lang w:eastAsia="en-GB"/>
        </w:rPr>
        <w:t>con le</w:t>
      </w:r>
      <w:r w:rsidR="008035F0">
        <w:rPr>
          <w:rFonts w:asciiTheme="minorHAnsi" w:hAnsiTheme="minorHAnsi"/>
          <w:lang w:eastAsia="en-GB"/>
        </w:rPr>
        <w:t xml:space="preserve"> disposizioni dell’art. 14 del MTR</w:t>
      </w:r>
      <w:r w:rsidR="0004534F">
        <w:rPr>
          <w:rFonts w:asciiTheme="minorHAnsi" w:hAnsiTheme="minorHAnsi"/>
          <w:lang w:eastAsia="en-GB"/>
        </w:rPr>
        <w:t>.</w:t>
      </w:r>
    </w:p>
    <w:p w14:paraId="78E30816" w14:textId="77777777" w:rsidR="00335260" w:rsidRPr="00CB19B5" w:rsidRDefault="00100211" w:rsidP="00A94BD8">
      <w:pPr>
        <w:rPr>
          <w:lang w:eastAsia="en-GB"/>
        </w:rPr>
      </w:pPr>
      <w:r>
        <w:rPr>
          <w:lang w:eastAsia="en-GB"/>
        </w:rPr>
        <w:t xml:space="preserve">I valori degli incrementi patrimoniali e dei corrispondenti contributi utilizzati dal gestore per lo svolgimento di attività esterne al perimetro </w:t>
      </w:r>
      <w:r w:rsidRPr="00CB19B5">
        <w:rPr>
          <w:lang w:eastAsia="en-GB"/>
        </w:rPr>
        <w:t xml:space="preserve">regolato dal MTR sono </w:t>
      </w:r>
      <w:r w:rsidR="00BD4986" w:rsidRPr="00CB19B5">
        <w:rPr>
          <w:lang w:eastAsia="en-GB"/>
        </w:rPr>
        <w:t>ripartiti mediante i driver</w:t>
      </w:r>
      <w:r w:rsidR="003D115F" w:rsidRPr="00CB19B5">
        <w:rPr>
          <w:lang w:eastAsia="en-GB"/>
        </w:rPr>
        <w:t xml:space="preserve"> e </w:t>
      </w:r>
      <w:r w:rsidR="00BD4986" w:rsidRPr="00CB19B5">
        <w:rPr>
          <w:lang w:eastAsia="en-GB"/>
        </w:rPr>
        <w:t>determinati in ragione di criteri di significatività, attendibilità, ragionevolezza e verificabilità</w:t>
      </w:r>
      <w:r w:rsidR="003D115F" w:rsidRPr="00CB19B5">
        <w:rPr>
          <w:lang w:eastAsia="en-GB"/>
        </w:rPr>
        <w:t xml:space="preserve">, così come riportato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38BA3578" w14:textId="77777777" w:rsidR="003D115F" w:rsidRDefault="00100211" w:rsidP="003D115F">
      <w:pPr>
        <w:rPr>
          <w:lang w:eastAsia="en-GB"/>
        </w:rPr>
      </w:pPr>
      <w:r w:rsidRPr="00CB19B5">
        <w:rPr>
          <w:rFonts w:asciiTheme="minorHAnsi" w:hAnsiTheme="minorHAnsi"/>
          <w:lang w:eastAsia="en-GB"/>
        </w:rPr>
        <w:t xml:space="preserve">Ai fini del calcolo dei costi d’uso del capitale per singolo </w:t>
      </w:r>
      <w:r w:rsidR="00B329FE" w:rsidRPr="00CB19B5">
        <w:rPr>
          <w:rFonts w:asciiTheme="minorHAnsi" w:hAnsiTheme="minorHAnsi"/>
          <w:lang w:eastAsia="en-GB"/>
        </w:rPr>
        <w:t>Lotto</w:t>
      </w:r>
      <w:r w:rsidRPr="00CB19B5">
        <w:rPr>
          <w:rFonts w:asciiTheme="minorHAnsi" w:hAnsiTheme="minorHAnsi"/>
          <w:lang w:eastAsia="en-GB"/>
        </w:rPr>
        <w:t xml:space="preserve"> gli incrementi patrimoniali ed i corrispondenti contributi a fondo perduto sono stati attribuiti ai </w:t>
      </w:r>
      <w:r w:rsidR="00B329FE" w:rsidRPr="00CB19B5">
        <w:rPr>
          <w:rFonts w:asciiTheme="minorHAnsi" w:hAnsiTheme="minorHAnsi"/>
          <w:lang w:eastAsia="en-GB"/>
        </w:rPr>
        <w:t xml:space="preserve">Lotto </w:t>
      </w:r>
      <w:r w:rsidR="00AB5CF6" w:rsidRPr="00CB19B5">
        <w:rPr>
          <w:rFonts w:asciiTheme="minorHAnsi" w:hAnsiTheme="minorHAnsi"/>
          <w:lang w:eastAsia="en-GB"/>
        </w:rPr>
        <w:t xml:space="preserve">in maniera diretta nei casi in cui ciò sia stato possibile. Negli altri casi mediante opportuni driver di allocazione riportati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5AA211A3" w14:textId="77777777" w:rsidR="00335260" w:rsidRDefault="00335260" w:rsidP="00A94BD8">
      <w:pPr>
        <w:rPr>
          <w:rFonts w:asciiTheme="minorHAnsi" w:hAnsiTheme="minorHAnsi"/>
          <w:lang w:eastAsia="en-GB"/>
        </w:rPr>
      </w:pPr>
    </w:p>
    <w:p w14:paraId="168B7A47" w14:textId="77777777" w:rsidR="00681C09" w:rsidRDefault="00681C09" w:rsidP="00681C09">
      <w:pPr>
        <w:pStyle w:val="Titolo2"/>
      </w:pPr>
      <w:bookmarkStart w:id="27" w:name="_Toc45528377"/>
      <w:r>
        <w:t xml:space="preserve">Costi </w:t>
      </w:r>
      <w:r w:rsidR="007B37A3">
        <w:t>di competenza dell’Ente/comune</w:t>
      </w:r>
      <w:bookmarkEnd w:id="27"/>
    </w:p>
    <w:p w14:paraId="7FDEA405" w14:textId="77777777" w:rsidR="00BF5120" w:rsidRPr="00E921ED" w:rsidRDefault="00C76337" w:rsidP="007B37A3">
      <w:pPr>
        <w:rPr>
          <w:lang w:eastAsia="en-GB"/>
        </w:rPr>
      </w:pPr>
      <w:r>
        <w:rPr>
          <w:lang w:eastAsia="en-GB"/>
        </w:rPr>
        <w:t>Per la quota relativa ai</w:t>
      </w:r>
      <w:r w:rsidR="007B37A3" w:rsidRPr="00E921ED">
        <w:rPr>
          <w:lang w:eastAsia="en-GB"/>
        </w:rPr>
        <w:t xml:space="preserve"> costi</w:t>
      </w:r>
      <w:r w:rsidR="00BF5120" w:rsidRPr="00E921ED">
        <w:rPr>
          <w:lang w:eastAsia="en-GB"/>
        </w:rPr>
        <w:t>,</w:t>
      </w:r>
      <w:r w:rsidR="007B37A3" w:rsidRPr="00E921ED">
        <w:rPr>
          <w:lang w:eastAsia="en-GB"/>
        </w:rPr>
        <w:t xml:space="preserve"> provenienti dal bilancio</w:t>
      </w:r>
      <w:r w:rsidR="00BF5120" w:rsidRPr="00E921ED">
        <w:rPr>
          <w:lang w:eastAsia="en-GB"/>
        </w:rPr>
        <w:t xml:space="preserve"> 2018</w:t>
      </w:r>
      <w:r w:rsidR="007B37A3" w:rsidRPr="00E921ED">
        <w:rPr>
          <w:lang w:eastAsia="en-GB"/>
        </w:rPr>
        <w:t xml:space="preserve"> a consuntivo dell’Ente/comune</w:t>
      </w:r>
      <w:r w:rsidR="00BF5120" w:rsidRPr="00E921ED">
        <w:rPr>
          <w:lang w:eastAsia="en-GB"/>
        </w:rPr>
        <w:t>, afferenti al ciclo integrato dei rifiuti urbani, concorr</w:t>
      </w:r>
      <w:r>
        <w:rPr>
          <w:lang w:eastAsia="en-GB"/>
        </w:rPr>
        <w:t>enti</w:t>
      </w:r>
      <w:r w:rsidR="00BF5120" w:rsidRPr="00E921ED">
        <w:rPr>
          <w:lang w:eastAsia="en-GB"/>
        </w:rPr>
        <w:t xml:space="preserve"> attivamente alla determinazione delle entrate tariffarie per l’annualità di riferimento</w:t>
      </w:r>
      <w:r>
        <w:rPr>
          <w:lang w:eastAsia="en-GB"/>
        </w:rPr>
        <w:t xml:space="preserve"> si rimanda </w:t>
      </w:r>
      <w:r w:rsidRPr="00F50F6A">
        <w:rPr>
          <w:rFonts w:asciiTheme="minorHAnsi" w:hAnsiTheme="minorHAnsi"/>
        </w:rPr>
        <w:t>all’Appendice 1 della deliberazione 443/2019/R/</w:t>
      </w:r>
      <w:r w:rsidRPr="00F50F6A">
        <w:rPr>
          <w:rFonts w:asciiTheme="minorHAnsi" w:hAnsiTheme="minorHAnsi"/>
          <w:smallCaps/>
        </w:rPr>
        <w:t>rif</w:t>
      </w:r>
      <w:r>
        <w:rPr>
          <w:rFonts w:asciiTheme="minorHAnsi" w:hAnsiTheme="minorHAnsi"/>
          <w:smallCaps/>
        </w:rPr>
        <w:t>,</w:t>
      </w:r>
      <w:r w:rsidRPr="007904DD">
        <w:rPr>
          <w:rFonts w:asciiTheme="minorHAnsi" w:hAnsiTheme="minorHAnsi"/>
          <w:lang w:eastAsia="en-GB"/>
        </w:rPr>
        <w:t xml:space="preserve"> </w:t>
      </w:r>
      <w:r>
        <w:rPr>
          <w:rFonts w:asciiTheme="minorHAnsi" w:hAnsiTheme="minorHAnsi"/>
          <w:lang w:eastAsia="en-GB"/>
        </w:rPr>
        <w:t>come modificato dalla Determina 02/DRIF/2020 Allegato 1, fornito in allegato alla presente.</w:t>
      </w:r>
    </w:p>
    <w:p w14:paraId="1B4756CB" w14:textId="77777777" w:rsidR="00A4516A" w:rsidRPr="00E921ED" w:rsidRDefault="00C76337">
      <w:pPr>
        <w:jc w:val="left"/>
        <w:rPr>
          <w:rFonts w:asciiTheme="minorHAnsi" w:hAnsiTheme="minorHAnsi"/>
          <w:lang w:eastAsia="en-GB"/>
        </w:rPr>
      </w:pPr>
      <w:r>
        <w:rPr>
          <w:rFonts w:asciiTheme="minorHAnsi" w:hAnsiTheme="minorHAnsi"/>
          <w:lang w:eastAsia="en-GB"/>
        </w:rPr>
        <w:t>Al fine di derivare i costi da ricomprendere a riconoscimento tariffario</w:t>
      </w:r>
      <w:r w:rsidR="00960951" w:rsidRPr="00E921ED">
        <w:rPr>
          <w:rFonts w:asciiTheme="minorHAnsi" w:hAnsiTheme="minorHAnsi"/>
          <w:lang w:eastAsia="en-GB"/>
        </w:rPr>
        <w:t>, l’ente/comune:</w:t>
      </w:r>
    </w:p>
    <w:p w14:paraId="1AD970B5" w14:textId="77777777" w:rsidR="00960951" w:rsidRPr="00E921ED" w:rsidRDefault="00960951"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identificato i soli costi effettivamente sostenuti per l’attività del servizio rifiuti;</w:t>
      </w:r>
    </w:p>
    <w:p w14:paraId="22C583C2"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determinato la quota relativa al servizio rifiuti, nel caso di costi comuni a più servizi, mediante l’identificazione di appositi criteri oggettivi e verificabili;</w:t>
      </w:r>
    </w:p>
    <w:p w14:paraId="0E5C5F34"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considerato esclusivamente le attività rientranti nel perimetro del servizio definito dall’art. 1.2 del MTR</w:t>
      </w:r>
      <w:r w:rsidR="00724B46" w:rsidRPr="00E921ED">
        <w:rPr>
          <w:rFonts w:asciiTheme="minorHAnsi" w:hAnsiTheme="minorHAnsi"/>
          <w:lang w:eastAsia="en-GB"/>
        </w:rPr>
        <w:t>.</w:t>
      </w:r>
    </w:p>
    <w:p w14:paraId="08BD0A70" w14:textId="77777777" w:rsidR="00AF36E2" w:rsidRDefault="00AF36E2" w:rsidP="00CB19B5">
      <w:pPr>
        <w:rPr>
          <w:rFonts w:asciiTheme="minorHAnsi" w:hAnsiTheme="minorHAnsi"/>
        </w:rPr>
      </w:pPr>
      <w:r>
        <w:rPr>
          <w:rFonts w:asciiTheme="minorHAnsi" w:hAnsiTheme="minorHAnsi"/>
        </w:rPr>
        <w:t>Le informazioni in merito alle</w:t>
      </w:r>
      <w:r w:rsidRPr="00E921ED">
        <w:rPr>
          <w:rFonts w:asciiTheme="minorHAnsi" w:hAnsiTheme="minorHAnsi"/>
        </w:rPr>
        <w:t xml:space="preserve"> entrate presenti nel Bilancio del</w:t>
      </w:r>
      <w:r>
        <w:rPr>
          <w:rFonts w:asciiTheme="minorHAnsi" w:hAnsiTheme="minorHAnsi"/>
        </w:rPr>
        <w:t xml:space="preserve"> C</w:t>
      </w:r>
      <w:r w:rsidRPr="00E921ED">
        <w:rPr>
          <w:rFonts w:asciiTheme="minorHAnsi" w:hAnsiTheme="minorHAnsi"/>
        </w:rPr>
        <w:t>omune sottratte dal totale dei costi del PEF di cui al comma 1</w:t>
      </w:r>
      <w:r w:rsidRPr="00E921ED">
        <w:rPr>
          <w:rFonts w:asciiTheme="minorHAnsi" w:hAnsiTheme="minorHAnsi"/>
          <w:lang w:eastAsia="en-GB"/>
        </w:rPr>
        <w:t>.4 della determinazione 2/DRIF/2020</w:t>
      </w:r>
      <w:r>
        <w:rPr>
          <w:rFonts w:asciiTheme="minorHAnsi" w:hAnsiTheme="minorHAnsi"/>
        </w:rPr>
        <w:t xml:space="preserve"> sono rappresentate direttamente nel PEF allegato alla presente relazione.</w:t>
      </w:r>
    </w:p>
    <w:p w14:paraId="5746152C" w14:textId="77777777" w:rsidR="00AF36E2" w:rsidRDefault="00AF36E2" w:rsidP="00AF36E2">
      <w:pPr>
        <w:rPr>
          <w:rFonts w:asciiTheme="minorHAnsi" w:hAnsiTheme="minorHAnsi"/>
        </w:rPr>
      </w:pPr>
    </w:p>
    <w:p w14:paraId="36A71273" w14:textId="77777777" w:rsidR="00AF36E2" w:rsidRDefault="00AF36E2" w:rsidP="00AF36E2">
      <w:pPr>
        <w:pStyle w:val="Titolo2"/>
      </w:pPr>
      <w:bookmarkStart w:id="28" w:name="_Toc43722725"/>
      <w:bookmarkStart w:id="29" w:name="_Toc45528378"/>
      <w:r w:rsidRPr="00A44D77">
        <w:t>Condizione per la riclassificazione dei costi fissi e variabili</w:t>
      </w:r>
      <w:bookmarkEnd w:id="28"/>
      <w:bookmarkEnd w:id="29"/>
    </w:p>
    <w:p w14:paraId="427B9AF9" w14:textId="77777777" w:rsidR="00AF36E2" w:rsidRDefault="00AF36E2" w:rsidP="00AF36E2">
      <w:pPr>
        <w:rPr>
          <w:lang w:eastAsia="en-GB"/>
        </w:rPr>
      </w:pPr>
      <w:r>
        <w:rPr>
          <w:lang w:eastAsia="en-GB"/>
        </w:rPr>
        <w:t>Alla luce di quanto previsto dall’art. 3 del MTR si è proceduto a verificare la seguente condizione, così come prescritto all’art. 3.1 del MTR:</w:t>
      </w:r>
    </w:p>
    <w:p w14:paraId="1AF50A17" w14:textId="77777777" w:rsidR="00AF36E2" w:rsidRPr="00A44D77" w:rsidRDefault="00AF36E2" w:rsidP="00AF36E2">
      <w:pPr>
        <w:jc w:val="center"/>
        <w:rPr>
          <w:lang w:eastAsia="en-GB"/>
        </w:rPr>
      </w:pPr>
      <m:oMathPara>
        <m:oMath>
          <m:r>
            <w:rPr>
              <w:rFonts w:ascii="Cambria Math" w:hAnsi="Cambria Math"/>
              <w:lang w:eastAsia="en-GB"/>
            </w:rPr>
            <m:t xml:space="preserve">0,8 ≤ </m:t>
          </m:r>
          <m:f>
            <m:fPr>
              <m:ctrlPr>
                <w:rPr>
                  <w:rFonts w:ascii="Cambria Math" w:hAnsi="Cambria Math"/>
                  <w:i/>
                  <w:lang w:eastAsia="en-GB"/>
                </w:rPr>
              </m:ctrlPr>
            </m:fPr>
            <m:num>
              <m:r>
                <w:rPr>
                  <w:rFonts w:ascii="Cambria Math" w:hAnsi="Cambria Math"/>
                  <w:lang w:eastAsia="en-GB"/>
                </w:rPr>
                <m:t xml:space="preserve">Σ </m:t>
              </m:r>
              <m:r>
                <w:rPr>
                  <w:rFonts w:ascii="Cambria Math" w:hAnsi="Cambria Math" w:cs="Cambria Math"/>
                  <w:lang w:eastAsia="en-GB"/>
                </w:rPr>
                <m:t xml:space="preserve">TVa </m:t>
              </m:r>
              <m:r>
                <w:rPr>
                  <w:rFonts w:ascii="Cambria Math" w:hAnsi="Cambria Math"/>
                  <w:lang w:eastAsia="en-GB"/>
                </w:rPr>
                <m:t xml:space="preserve"> </m:t>
              </m:r>
            </m:num>
            <m:den>
              <m:r>
                <w:rPr>
                  <w:rFonts w:ascii="Cambria Math" w:hAnsi="Cambria Math"/>
                  <w:lang w:eastAsia="en-GB"/>
                </w:rPr>
                <m:t xml:space="preserve">Σ </m:t>
              </m:r>
              <m:r>
                <w:rPr>
                  <w:rFonts w:ascii="Cambria Math" w:hAnsi="Cambria Math" w:cs="Cambria Math"/>
                  <w:lang w:eastAsia="en-GB"/>
                </w:rPr>
                <m:t>TVa</m:t>
              </m:r>
              <m:r>
                <w:rPr>
                  <w:rFonts w:ascii="Cambria Math" w:hAnsi="Cambria Math"/>
                  <w:lang w:eastAsia="en-GB"/>
                </w:rPr>
                <m:t>-1</m:t>
              </m:r>
            </m:den>
          </m:f>
          <m:r>
            <w:rPr>
              <w:rFonts w:ascii="Cambria Math" w:hAnsi="Cambria Math"/>
              <w:lang w:eastAsia="en-GB"/>
            </w:rPr>
            <m:t>≤ 1,2</m:t>
          </m:r>
        </m:oMath>
      </m:oMathPara>
    </w:p>
    <w:p w14:paraId="4590E0B5" w14:textId="77777777" w:rsidR="00AF36E2" w:rsidRPr="00A44D77" w:rsidRDefault="00AF36E2" w:rsidP="00CB19B5">
      <w:pPr>
        <w:rPr>
          <w:rFonts w:asciiTheme="minorHAnsi" w:hAnsiTheme="minorHAnsi"/>
          <w:lang w:eastAsia="en-GB"/>
        </w:rPr>
      </w:pPr>
      <w:r w:rsidRPr="00A44D77">
        <w:rPr>
          <w:rFonts w:asciiTheme="minorHAnsi" w:hAnsiTheme="minorHAnsi"/>
          <w:lang w:eastAsia="en-GB"/>
        </w:rPr>
        <w:t xml:space="preserve">Nel caso in cui </w:t>
      </w:r>
      <w:r>
        <w:rPr>
          <w:rFonts w:asciiTheme="minorHAnsi" w:hAnsiTheme="minorHAnsi"/>
          <w:lang w:eastAsia="en-GB"/>
        </w:rPr>
        <w:t xml:space="preserve">tale </w:t>
      </w:r>
      <w:r w:rsidRPr="00A44D77">
        <w:rPr>
          <w:rFonts w:asciiTheme="minorHAnsi" w:hAnsiTheme="minorHAnsi"/>
          <w:lang w:eastAsia="en-GB"/>
        </w:rPr>
        <w:t>rapporto:</w:t>
      </w:r>
    </w:p>
    <w:p w14:paraId="62095D1D"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superiore a 1,2, la quota di ricavi eccedente il vincolo deve essere ricompresa nel totale delle entrate relative alle componenti di costo fisso;</w:t>
      </w:r>
    </w:p>
    <w:p w14:paraId="1C4607D1"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inferiore a 0,8, la quota di ricavi necessaria per il rispetto del vincolo deve essere trasferita dal totale delle entrate relative alla componente di costo fisso.</w:t>
      </w:r>
    </w:p>
    <w:p w14:paraId="45A68E14" w14:textId="77777777" w:rsidR="00AF36E2" w:rsidRDefault="00AF36E2" w:rsidP="00CB19B5">
      <w:pPr>
        <w:rPr>
          <w:rFonts w:asciiTheme="minorHAnsi" w:hAnsiTheme="minorHAnsi"/>
          <w:lang w:eastAsia="en-GB"/>
        </w:rPr>
      </w:pPr>
      <w:r>
        <w:rPr>
          <w:rFonts w:asciiTheme="minorHAnsi" w:hAnsiTheme="minorHAnsi"/>
          <w:lang w:eastAsia="en-GB"/>
        </w:rPr>
        <w:lastRenderedPageBreak/>
        <w:t>Tale eventuale spostamento di costi dovrà essere considerato nella successiva determinazione dell’articolazione tariffaria.</w:t>
      </w:r>
    </w:p>
    <w:p w14:paraId="21A5751A" w14:textId="77777777" w:rsidR="00AF36E2" w:rsidRDefault="00AF36E2" w:rsidP="004C3597">
      <w:pPr>
        <w:rPr>
          <w:rFonts w:asciiTheme="minorHAnsi" w:hAnsiTheme="minorHAnsi"/>
          <w:highlight w:val="yellow"/>
        </w:rPr>
      </w:pPr>
    </w:p>
    <w:p w14:paraId="638A2622" w14:textId="77777777" w:rsidR="005C4405" w:rsidRPr="004C3597" w:rsidRDefault="005C4405" w:rsidP="004C3597">
      <w:pPr>
        <w:rPr>
          <w:rFonts w:asciiTheme="minorHAnsi" w:hAnsiTheme="minorHAnsi"/>
          <w:lang w:eastAsia="en-GB"/>
        </w:rPr>
      </w:pPr>
    </w:p>
    <w:p w14:paraId="45E5CF53" w14:textId="77777777" w:rsidR="00AF36E2" w:rsidRDefault="00AF36E2">
      <w:pPr>
        <w:spacing w:before="0"/>
        <w:jc w:val="left"/>
        <w:rPr>
          <w:rFonts w:cs="Arial"/>
          <w:b/>
          <w:bCs/>
          <w:kern w:val="32"/>
          <w:sz w:val="26"/>
          <w:szCs w:val="32"/>
        </w:rPr>
      </w:pPr>
      <w:r>
        <w:br w:type="page"/>
      </w:r>
    </w:p>
    <w:p w14:paraId="1C4F8F5A" w14:textId="77777777" w:rsidR="00A4516A" w:rsidRDefault="00A4516A">
      <w:pPr>
        <w:pStyle w:val="Titolo1"/>
      </w:pPr>
      <w:bookmarkStart w:id="30" w:name="_Toc45528379"/>
      <w:r>
        <w:lastRenderedPageBreak/>
        <w:t>Valutazioni dell’Ente territorialmente competente</w:t>
      </w:r>
      <w:bookmarkEnd w:id="30"/>
    </w:p>
    <w:p w14:paraId="333B2E43" w14:textId="77777777" w:rsidR="00A4516A" w:rsidRPr="00A4516A" w:rsidRDefault="00A4516A" w:rsidP="00A4516A"/>
    <w:p w14:paraId="006A8D85" w14:textId="77777777" w:rsidR="00A4516A" w:rsidRDefault="00A4516A" w:rsidP="00CA75F4">
      <w:pPr>
        <w:pStyle w:val="Titolo2"/>
      </w:pPr>
      <w:bookmarkStart w:id="31" w:name="_Toc45528380"/>
      <w:r>
        <w:t>Attività di validazione svolta</w:t>
      </w:r>
      <w:bookmarkEnd w:id="31"/>
    </w:p>
    <w:p w14:paraId="12C3DE3E" w14:textId="77777777" w:rsidR="00A4516A" w:rsidRDefault="00A4516A" w:rsidP="00A4516A">
      <w:pPr>
        <w:rPr>
          <w:rFonts w:asciiTheme="minorHAnsi" w:hAnsiTheme="minorHAnsi"/>
        </w:rPr>
      </w:pPr>
      <w:r>
        <w:rPr>
          <w:lang w:eastAsia="en-GB"/>
        </w:rPr>
        <w:t xml:space="preserve">Alla luce dei documenti prodotti </w:t>
      </w:r>
      <w:r w:rsidR="00AF36E2">
        <w:rPr>
          <w:lang w:eastAsia="en-GB"/>
        </w:rPr>
        <w:t>dai gestori</w:t>
      </w:r>
      <w:r w:rsidR="002158D0">
        <w:rPr>
          <w:lang w:eastAsia="en-GB"/>
        </w:rPr>
        <w:t>,</w:t>
      </w:r>
      <w:r>
        <w:rPr>
          <w:lang w:eastAsia="en-GB"/>
        </w:rPr>
        <w:t xml:space="preserve">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 xml:space="preserve">ha svolto una approfondita analisi di validazione e verifica degli stessi, andando ad esaminare nel dettaglio i prospetti </w:t>
      </w:r>
      <w:r w:rsidR="00724B46">
        <w:rPr>
          <w:rFonts w:asciiTheme="minorHAnsi" w:hAnsiTheme="minorHAnsi"/>
        </w:rPr>
        <w:t>comunicati e le evidenze contabili sottostanti.</w:t>
      </w:r>
    </w:p>
    <w:p w14:paraId="7F31A977" w14:textId="77777777" w:rsidR="000F386E" w:rsidRDefault="000F386E" w:rsidP="00A4516A">
      <w:pPr>
        <w:rPr>
          <w:rFonts w:asciiTheme="minorHAnsi" w:hAnsiTheme="minorHAnsi"/>
        </w:rPr>
      </w:pPr>
      <w:r>
        <w:rPr>
          <w:rFonts w:asciiTheme="minorHAnsi" w:hAnsiTheme="minorHAnsi"/>
        </w:rPr>
        <w:t xml:space="preserve">Nel dettaglio,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ha verificato:</w:t>
      </w:r>
    </w:p>
    <w:p w14:paraId="2F3F47BC" w14:textId="77777777" w:rsidR="000F386E" w:rsidRDefault="000F386E"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provenienza da fonti contabili obbligatorie di tutti i dati prodotti dal gestore avvalendosi di documenti aziendali certificati quali il bilancio di esercizio, la nota integrativa ed il libro cespiti</w:t>
      </w:r>
      <w:r w:rsidR="0053306C">
        <w:rPr>
          <w:rFonts w:asciiTheme="minorHAnsi" w:hAnsiTheme="minorHAnsi"/>
          <w:szCs w:val="24"/>
          <w:lang w:eastAsia="en-GB"/>
        </w:rPr>
        <w:t>;</w:t>
      </w:r>
    </w:p>
    <w:p w14:paraId="29AFBF28"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coerenza e la quadratura dei dati prodotti rispetto alle sopracitate fonti contabili obbligatorie per mezzo di prospetti riepilogativi forniti dal gestore stesso;</w:t>
      </w:r>
    </w:p>
    <w:p w14:paraId="56451C6D"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rigorosa applicazione da parte del gestore del metodo identificato dalla </w:t>
      </w:r>
      <w:r w:rsidRPr="00F50F6A">
        <w:rPr>
          <w:rFonts w:asciiTheme="minorHAnsi" w:hAnsiTheme="minorHAnsi"/>
        </w:rPr>
        <w:t>deliberazione 443/2019/R/</w:t>
      </w:r>
      <w:r w:rsidRPr="00F50F6A">
        <w:rPr>
          <w:rFonts w:asciiTheme="minorHAnsi" w:hAnsiTheme="minorHAnsi"/>
          <w:smallCaps/>
        </w:rPr>
        <w:t>rif</w:t>
      </w:r>
      <w:r>
        <w:rPr>
          <w:rFonts w:asciiTheme="minorHAnsi" w:hAnsiTheme="minorHAnsi"/>
          <w:smallCaps/>
        </w:rPr>
        <w:t xml:space="preserve"> </w:t>
      </w:r>
      <w:r>
        <w:rPr>
          <w:rFonts w:asciiTheme="minorHAnsi" w:hAnsiTheme="minorHAnsi"/>
          <w:szCs w:val="24"/>
          <w:lang w:eastAsia="en-GB"/>
        </w:rPr>
        <w:t xml:space="preserve">nell’individuazione dei costi ammessi a riconoscimento tariffario secondo quanto previsto dall’ art. 6 </w:t>
      </w:r>
      <w:r w:rsidR="00980664">
        <w:rPr>
          <w:rFonts w:asciiTheme="minorHAnsi" w:hAnsiTheme="minorHAnsi"/>
          <w:szCs w:val="24"/>
          <w:lang w:eastAsia="en-GB"/>
        </w:rPr>
        <w:t>della stessa</w:t>
      </w:r>
      <w:r w:rsidR="004C327F">
        <w:rPr>
          <w:rFonts w:asciiTheme="minorHAnsi" w:hAnsiTheme="minorHAnsi"/>
          <w:szCs w:val="24"/>
          <w:lang w:eastAsia="en-GB"/>
        </w:rPr>
        <w:t>;</w:t>
      </w:r>
    </w:p>
    <w:p w14:paraId="34605299" w14:textId="77777777" w:rsidR="00980664" w:rsidRPr="009D0024" w:rsidRDefault="0098066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corretta esclusione a riconoscimento tariffario delle attività esterne al ciclo integrato dei ri</w:t>
      </w:r>
      <w:r w:rsidR="009D0024">
        <w:rPr>
          <w:rFonts w:asciiTheme="minorHAnsi" w:hAnsiTheme="minorHAnsi"/>
          <w:szCs w:val="24"/>
          <w:lang w:eastAsia="en-GB"/>
        </w:rPr>
        <w:t xml:space="preserve">fiuti così come indicato dall’art. 1.1 della </w:t>
      </w:r>
      <w:r w:rsidR="009D0024" w:rsidRPr="00F50F6A">
        <w:rPr>
          <w:rFonts w:asciiTheme="minorHAnsi" w:hAnsiTheme="minorHAnsi"/>
        </w:rPr>
        <w:t>deliberazione 443/2019/R/</w:t>
      </w:r>
      <w:r w:rsidR="009D0024" w:rsidRPr="00F50F6A">
        <w:rPr>
          <w:rFonts w:asciiTheme="minorHAnsi" w:hAnsiTheme="minorHAnsi"/>
          <w:smallCaps/>
        </w:rPr>
        <w:t>rif</w:t>
      </w:r>
      <w:r w:rsidR="004C327F">
        <w:rPr>
          <w:rFonts w:asciiTheme="minorHAnsi" w:hAnsiTheme="minorHAnsi"/>
          <w:smallCaps/>
        </w:rPr>
        <w:t>;</w:t>
      </w:r>
    </w:p>
    <w:p w14:paraId="6E4D789E" w14:textId="77777777" w:rsidR="009D0024" w:rsidRP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corretta individuazione ed esclusione a riconoscimento tariffario delle voci di costo operativo riferite alle attività afferenti al ciclo integrato dei rifiuti denominate poste rettificative ed identificate dall’art. 1.1 della </w:t>
      </w:r>
      <w:r w:rsidRPr="00F50F6A">
        <w:rPr>
          <w:rFonts w:asciiTheme="minorHAnsi" w:hAnsiTheme="minorHAnsi"/>
        </w:rPr>
        <w:t>deliberazione 443/2019/R/</w:t>
      </w:r>
      <w:r w:rsidRPr="00F50F6A">
        <w:rPr>
          <w:rFonts w:asciiTheme="minorHAnsi" w:hAnsiTheme="minorHAnsi"/>
          <w:smallCaps/>
        </w:rPr>
        <w:t>rif</w:t>
      </w:r>
      <w:r>
        <w:rPr>
          <w:rFonts w:asciiTheme="minorHAnsi" w:hAnsiTheme="minorHAnsi"/>
          <w:smallCaps/>
        </w:rPr>
        <w:t>.</w:t>
      </w:r>
    </w:p>
    <w:p w14:paraId="2D1938B7"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delle poste comuni a più attività del ciclo integrato dei rifiuti urbani utilizzati dal gestore.</w:t>
      </w:r>
    </w:p>
    <w:p w14:paraId="3BA18CF0"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delle poste economiche relative ad attività del ciclo integrato dei rifiuti urbani utilizzati dal gestore.</w:t>
      </w:r>
    </w:p>
    <w:p w14:paraId="3FA89F77" w14:textId="77777777" w:rsidR="00863FBB" w:rsidRDefault="00900847"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costi sostenuti dal gestore</w:t>
      </w:r>
      <w:r w:rsidR="00863FBB">
        <w:rPr>
          <w:rFonts w:asciiTheme="minorHAnsi" w:hAnsiTheme="minorHAnsi"/>
          <w:szCs w:val="24"/>
          <w:lang w:eastAsia="en-GB"/>
        </w:rPr>
        <w:t xml:space="preserve"> per campagne ambientali e misure di prevenzione.</w:t>
      </w:r>
    </w:p>
    <w:p w14:paraId="42FA6E9F" w14:textId="77777777" w:rsidR="009D0024"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Il dettaglio delle voci di costo inserite nella componente </w:t>
      </w:r>
      <w:r>
        <w:t>CO</w:t>
      </w:r>
      <w:r w:rsidRPr="00741B01">
        <w:rPr>
          <w:vertAlign w:val="subscript"/>
        </w:rPr>
        <w:t>al</w:t>
      </w:r>
      <w:r>
        <w:rPr>
          <w:rFonts w:asciiTheme="minorHAnsi" w:hAnsiTheme="minorHAnsi"/>
          <w:szCs w:val="24"/>
          <w:lang w:eastAsia="en-GB"/>
        </w:rPr>
        <w:t>.</w:t>
      </w:r>
      <w:r w:rsidR="00900847">
        <w:rPr>
          <w:rFonts w:asciiTheme="minorHAnsi" w:hAnsiTheme="minorHAnsi"/>
          <w:szCs w:val="24"/>
          <w:lang w:eastAsia="en-GB"/>
        </w:rPr>
        <w:t xml:space="preserve"> </w:t>
      </w:r>
    </w:p>
    <w:p w14:paraId="1C72B42A" w14:textId="77777777" w:rsid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ricavi provenienti dalla vendita di materiali e/o energia e i ricavi derivanti dai corrispettivi riconosciuti da CONAI.</w:t>
      </w:r>
    </w:p>
    <w:p w14:paraId="77766008" w14:textId="77777777" w:rsidR="00863FBB" w:rsidRP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Eventuali altri ricavi riconducibili nella componente tariffaria AR così come individuato dall’art. 2.2 sesto punto della </w:t>
      </w:r>
      <w:r w:rsidRPr="003201F0">
        <w:rPr>
          <w:rFonts w:asciiTheme="minorHAnsi" w:hAnsiTheme="minorHAnsi"/>
          <w:lang w:eastAsia="en-GB"/>
        </w:rPr>
        <w:t xml:space="preserve">deliberazione </w:t>
      </w:r>
      <w:r w:rsidRPr="003201F0">
        <w:rPr>
          <w:rFonts w:asciiTheme="minorHAnsi" w:hAnsiTheme="minorHAnsi"/>
        </w:rPr>
        <w:t>443/2019/R/</w:t>
      </w:r>
      <w:r w:rsidRPr="003201F0">
        <w:rPr>
          <w:rFonts w:asciiTheme="minorHAnsi" w:hAnsiTheme="minorHAnsi"/>
          <w:smallCaps/>
        </w:rPr>
        <w:t>rif</w:t>
      </w:r>
      <w:r>
        <w:rPr>
          <w:rFonts w:asciiTheme="minorHAnsi" w:hAnsiTheme="minorHAnsi"/>
          <w:smallCaps/>
        </w:rPr>
        <w:t xml:space="preserve">, </w:t>
      </w:r>
      <w:r w:rsidRPr="00863FBB">
        <w:rPr>
          <w:rFonts w:asciiTheme="minorHAnsi" w:hAnsiTheme="minorHAnsi"/>
          <w:szCs w:val="24"/>
          <w:lang w:eastAsia="en-GB"/>
        </w:rPr>
        <w:t>ovvero</w:t>
      </w:r>
      <w:r>
        <w:rPr>
          <w:rFonts w:asciiTheme="minorHAnsi" w:hAnsiTheme="minorHAnsi"/>
          <w:szCs w:val="24"/>
          <w:lang w:eastAsia="en-GB"/>
        </w:rPr>
        <w:t xml:space="preserv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Pr>
          <w:rFonts w:asciiTheme="minorHAnsi" w:hAnsiTheme="minorHAnsi"/>
          <w:i/>
          <w:iCs/>
          <w:lang w:eastAsia="en-GB"/>
        </w:rPr>
        <w:t>.</w:t>
      </w:r>
    </w:p>
    <w:p w14:paraId="134F1CA1" w14:textId="77777777" w:rsidR="00863FBB" w:rsidRPr="00030CD1"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 dati relativi ai costi di capitale comunicati dal gestore avvalendosi dei prospetti di riconciliazione con il libro cespiti ponendo particolare attenzione agli eventuali contributi a fondo perduto percepiti dallo stesso.</w:t>
      </w:r>
    </w:p>
    <w:p w14:paraId="5D09FA91" w14:textId="77777777" w:rsidR="00030CD1" w:rsidRPr="00986F4A"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Il valore delle immobilizzazioni in corso e la corretta esclusione di quelle non movimentate negli ultimi quattro anni.</w:t>
      </w:r>
    </w:p>
    <w:p w14:paraId="62DE81B6" w14:textId="77777777" w:rsidR="00986F4A" w:rsidRPr="00986F4A" w:rsidRDefault="00986F4A" w:rsidP="00C76337">
      <w:pPr>
        <w:pStyle w:val="Paragrafoelenco"/>
        <w:numPr>
          <w:ilvl w:val="0"/>
          <w:numId w:val="6"/>
        </w:numPr>
        <w:jc w:val="both"/>
        <w:rPr>
          <w:rFonts w:asciiTheme="minorHAnsi" w:hAnsiTheme="minorHAnsi"/>
          <w:szCs w:val="24"/>
          <w:lang w:eastAsia="en-GB"/>
        </w:rPr>
      </w:pPr>
      <w:r>
        <w:rPr>
          <w:lang w:eastAsia="en-GB"/>
        </w:rPr>
        <w:t>I costi d’uso del capitale riferiti a beni di proprietà di soggetti terzi utilizzati dal gestore a fronte del pagamento di un corrispettivo, verificando che gli stessi siano stati considerati nel limite del corrispettivo stesso.</w:t>
      </w:r>
    </w:p>
    <w:p w14:paraId="0D2318AF"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di cespiti comuni a più attività del ciclo integrato dei rifiuti urbani utilizzati dal gestore.</w:t>
      </w:r>
    </w:p>
    <w:p w14:paraId="1676A4D4"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dei cespiti relativi ad attività del ciclo integrato dei rifiuti urbani utilizzati dal gestore.</w:t>
      </w:r>
    </w:p>
    <w:p w14:paraId="609E15C8" w14:textId="77777777" w:rsidR="00986F4A" w:rsidRPr="00030CD1"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Il corretto trattamento dei beni in leasing meglio descritto nel paragrafo 4.7 della presente relazione.</w:t>
      </w:r>
    </w:p>
    <w:p w14:paraId="2BB67F69" w14:textId="77777777" w:rsidR="004C327F" w:rsidRPr="004C327F" w:rsidRDefault="004C327F" w:rsidP="004C327F">
      <w:pPr>
        <w:rPr>
          <w:rFonts w:asciiTheme="minorHAnsi" w:hAnsiTheme="minorHAnsi"/>
          <w:lang w:eastAsia="en-GB"/>
        </w:rPr>
      </w:pPr>
    </w:p>
    <w:p w14:paraId="1342AC40" w14:textId="77777777" w:rsidR="004C327F" w:rsidRDefault="004C327F" w:rsidP="00CA75F4">
      <w:pPr>
        <w:pStyle w:val="Titolo2"/>
      </w:pPr>
      <w:bookmarkStart w:id="32" w:name="_Toc45528381"/>
      <w:r>
        <w:t>Limite alla crescita annuale delle entrate tariffarie</w:t>
      </w:r>
      <w:bookmarkEnd w:id="32"/>
    </w:p>
    <w:p w14:paraId="7FD6C333" w14:textId="77777777" w:rsidR="00DC4A89" w:rsidRDefault="00000BF5" w:rsidP="004C327F">
      <w:pPr>
        <w:rPr>
          <w:lang w:eastAsia="en-GB"/>
        </w:rPr>
      </w:pPr>
      <w:r>
        <w:rPr>
          <w:lang w:eastAsia="en-GB"/>
        </w:rPr>
        <w:t xml:space="preserve">Come previsto dall’art. 4.1 del MTR il rapporto tra le tariffe di riferimento e quelle dell’anno precedente deve rispettare il limite alla variazione annuale indentificato in </w:t>
      </w:r>
      <w:r w:rsidRPr="00000BF5">
        <w:rPr>
          <w:b/>
          <w:bCs/>
          <w:lang w:eastAsia="en-GB"/>
        </w:rPr>
        <w:t xml:space="preserve">(1 + </w:t>
      </w:r>
      <w:r w:rsidRPr="00000BF5">
        <w:rPr>
          <w:b/>
          <w:bCs/>
          <w:i/>
          <w:iCs/>
          <w:lang w:eastAsia="en-GB"/>
        </w:rPr>
        <w:t>ρ</w:t>
      </w:r>
      <w:r w:rsidRPr="00000BF5">
        <w:rPr>
          <w:b/>
          <w:bCs/>
          <w:i/>
          <w:iCs/>
          <w:vertAlign w:val="subscript"/>
          <w:lang w:eastAsia="en-GB"/>
        </w:rPr>
        <w:t>a</w:t>
      </w:r>
      <w:r w:rsidRPr="00000BF5">
        <w:rPr>
          <w:b/>
          <w:bCs/>
          <w:lang w:eastAsia="en-GB"/>
        </w:rPr>
        <w:t>)</w:t>
      </w:r>
      <w:r w:rsidR="00DC4A89">
        <w:rPr>
          <w:lang w:eastAsia="en-GB"/>
        </w:rPr>
        <w:t>.</w:t>
      </w:r>
    </w:p>
    <w:p w14:paraId="6D0B8551" w14:textId="77777777" w:rsidR="003A7F1F" w:rsidRDefault="003A7F1F" w:rsidP="004C327F">
      <w:pPr>
        <w:rPr>
          <w:lang w:eastAsia="en-GB"/>
        </w:rPr>
      </w:pPr>
      <w:r>
        <w:rPr>
          <w:lang w:eastAsia="en-GB"/>
        </w:rPr>
        <w:t xml:space="preserve">Il parametro </w:t>
      </w:r>
      <w:r w:rsidRPr="00000BF5">
        <w:rPr>
          <w:b/>
          <w:bCs/>
          <w:i/>
          <w:iCs/>
          <w:lang w:eastAsia="en-GB"/>
        </w:rPr>
        <w:t>ρ</w:t>
      </w:r>
      <w:r w:rsidRPr="00DC4A89">
        <w:rPr>
          <w:b/>
          <w:bCs/>
          <w:i/>
          <w:iCs/>
          <w:vertAlign w:val="subscript"/>
          <w:lang w:eastAsia="en-GB"/>
        </w:rPr>
        <w:t>a</w:t>
      </w:r>
      <w:r>
        <w:rPr>
          <w:b/>
          <w:bCs/>
          <w:i/>
          <w:iCs/>
          <w:vertAlign w:val="subscript"/>
          <w:lang w:eastAsia="en-GB"/>
        </w:rPr>
        <w:t xml:space="preserve"> </w:t>
      </w:r>
      <w:r>
        <w:rPr>
          <w:lang w:eastAsia="en-GB"/>
        </w:rPr>
        <w:t>è determinato sulla base della seguente formula:</w:t>
      </w:r>
    </w:p>
    <w:p w14:paraId="6E067620" w14:textId="77777777" w:rsidR="003A7F1F" w:rsidRPr="003A7F1F" w:rsidRDefault="003A7F1F" w:rsidP="004C327F">
      <w:pPr>
        <w:rPr>
          <w:sz w:val="17"/>
          <w:szCs w:val="17"/>
        </w:rPr>
      </w:pPr>
      <m:oMathPara>
        <m:oMath>
          <m:r>
            <m:rPr>
              <m:sty m:val="p"/>
            </m:rPr>
            <w:rPr>
              <w:rFonts w:ascii="Cambria Math" w:eastAsia="CambriaMath" w:hAnsi="Cambria Math" w:cs="CambriaMath" w:hint="eastAsia"/>
              <w:sz w:val="24"/>
            </w:rPr>
            <m:t>ρ</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w:bookmarkStart w:id="33" w:name="_Hlk38030954"/>
          <m:r>
            <m:rPr>
              <m:sty m:val="p"/>
            </m:rPr>
            <w:rPr>
              <w:rFonts w:ascii="Cambria Math" w:eastAsia="CambriaMath" w:hAnsi="Cambria Math" w:cs="CambriaMath" w:hint="eastAsia"/>
              <w:sz w:val="24"/>
            </w:rPr>
            <m:t>rpi</m:t>
          </m:r>
          <m:r>
            <m:rPr>
              <m:sty m:val="p"/>
            </m:rPr>
            <w:rPr>
              <w:rFonts w:ascii="Cambria Math" w:eastAsia="CambriaMath" w:hAnsi="Cambria Math" w:cs="CambriaMath" w:hint="eastAsia"/>
              <w:sz w:val="17"/>
              <w:szCs w:val="17"/>
            </w:rPr>
            <m:t>a</m:t>
          </m:r>
          <w:bookmarkEnd w:id="33"/>
          <m:r>
            <m:rPr>
              <m:sty m:val="p"/>
            </m:rPr>
            <w:rPr>
              <w:rFonts w:ascii="Cambria Math" w:eastAsia="CambriaMath" w:hAnsi="Cambria Math" w:cs="CambriaMath"/>
              <w:sz w:val="17"/>
              <w:szCs w:val="17"/>
            </w:rPr>
            <m:t xml:space="preserve"> </m:t>
          </m:r>
          <m:r>
            <m:rPr>
              <m:sty m:val="p"/>
            </m:rPr>
            <w:rPr>
              <w:rFonts w:ascii="Arial" w:eastAsia="CambriaMath" w:hAnsi="Arial" w:cs="Arial"/>
              <w:sz w:val="24"/>
            </w:rPr>
            <m:t>-</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X</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QL</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PG</m:t>
          </m:r>
          <m:r>
            <m:rPr>
              <m:sty m:val="p"/>
            </m:rPr>
            <w:rPr>
              <w:rFonts w:ascii="Cambria Math" w:eastAsia="CambriaMath" w:hAnsi="Cambria Math" w:cs="CambriaMath" w:hint="eastAsia"/>
              <w:sz w:val="17"/>
              <w:szCs w:val="17"/>
            </w:rPr>
            <m:t>a</m:t>
          </m:r>
        </m:oMath>
      </m:oMathPara>
    </w:p>
    <w:p w14:paraId="08EE93A7" w14:textId="77777777" w:rsidR="003A7F1F" w:rsidRDefault="003A7F1F" w:rsidP="004C327F">
      <w:pPr>
        <w:rPr>
          <w:lang w:eastAsia="en-GB"/>
        </w:rPr>
      </w:pPr>
      <w:r>
        <w:rPr>
          <w:lang w:eastAsia="en-GB"/>
        </w:rPr>
        <w:t>dove:</w:t>
      </w:r>
    </w:p>
    <w:p w14:paraId="43A3220B" w14:textId="77777777" w:rsidR="003A7F1F" w:rsidRDefault="003A7F1F" w:rsidP="00C76337">
      <w:pPr>
        <w:pStyle w:val="Paragrafoelenco"/>
        <w:numPr>
          <w:ilvl w:val="0"/>
          <w:numId w:val="9"/>
        </w:numPr>
        <w:jc w:val="both"/>
        <w:rPr>
          <w:lang w:eastAsia="en-GB"/>
        </w:rPr>
      </w:pPr>
      <w:r w:rsidRPr="00D94EE4">
        <w:rPr>
          <w:b/>
          <w:bCs/>
          <w:i/>
          <w:iCs/>
          <w:lang w:eastAsia="en-GB"/>
        </w:rPr>
        <w:lastRenderedPageBreak/>
        <w:t>rpi</w:t>
      </w:r>
      <w:r w:rsidRPr="00D94EE4">
        <w:rPr>
          <w:b/>
          <w:bCs/>
          <w:i/>
          <w:iCs/>
          <w:vertAlign w:val="subscript"/>
          <w:lang w:eastAsia="en-GB"/>
        </w:rPr>
        <w:t>a</w:t>
      </w:r>
      <w:r w:rsidRPr="00D94EE4">
        <w:rPr>
          <w:i/>
          <w:iCs/>
          <w:vertAlign w:val="subscript"/>
          <w:lang w:eastAsia="en-GB"/>
        </w:rPr>
        <w:t xml:space="preserve"> </w:t>
      </w:r>
      <w:r>
        <w:rPr>
          <w:lang w:eastAsia="en-GB"/>
        </w:rPr>
        <w:t>è il</w:t>
      </w:r>
      <w:r w:rsidR="00D94EE4">
        <w:rPr>
          <w:lang w:eastAsia="en-GB"/>
        </w:rPr>
        <w:t xml:space="preserve"> </w:t>
      </w:r>
      <w:r>
        <w:rPr>
          <w:lang w:eastAsia="en-GB"/>
        </w:rPr>
        <w:t>tasso di inflazione programmata, pari al 1,7%;</w:t>
      </w:r>
    </w:p>
    <w:p w14:paraId="645DD88F" w14:textId="77777777" w:rsidR="003A7F1F" w:rsidRDefault="003A7F1F" w:rsidP="00C76337">
      <w:pPr>
        <w:pStyle w:val="Paragrafoelenco"/>
        <w:numPr>
          <w:ilvl w:val="0"/>
          <w:numId w:val="9"/>
        </w:numPr>
        <w:jc w:val="both"/>
        <w:rPr>
          <w:lang w:eastAsia="en-GB"/>
        </w:rPr>
      </w:pPr>
      <w:r w:rsidRPr="00D94EE4">
        <w:rPr>
          <w:b/>
          <w:bCs/>
          <w:lang w:eastAsia="en-GB"/>
        </w:rPr>
        <w:t>X</w:t>
      </w:r>
      <w:r w:rsidRPr="00D94EE4">
        <w:rPr>
          <w:b/>
          <w:bCs/>
          <w:vertAlign w:val="subscript"/>
          <w:lang w:eastAsia="en-GB"/>
        </w:rPr>
        <w:t>a</w:t>
      </w:r>
      <w:r>
        <w:rPr>
          <w:lang w:eastAsia="en-GB"/>
        </w:rPr>
        <w:t xml:space="preserve"> è il coefficiente di recupero di produttività, determinato dall’Ente territorialmente compente, nell’ambito dell’intervallo di valori compreso fra 0,1% e 0,5%;</w:t>
      </w:r>
    </w:p>
    <w:p w14:paraId="7F49DA9C" w14:textId="77777777" w:rsidR="00D94EE4" w:rsidRDefault="00D94EE4" w:rsidP="00C76337">
      <w:pPr>
        <w:pStyle w:val="Paragrafoelenco"/>
        <w:numPr>
          <w:ilvl w:val="0"/>
          <w:numId w:val="9"/>
        </w:numPr>
        <w:jc w:val="both"/>
        <w:rPr>
          <w:lang w:eastAsia="en-GB"/>
        </w:rPr>
      </w:pPr>
      <w:r w:rsidRPr="00D94EE4">
        <w:rPr>
          <w:b/>
          <w:bCs/>
          <w:lang w:eastAsia="en-GB"/>
        </w:rPr>
        <w:t>QL</w:t>
      </w:r>
      <w:r w:rsidRPr="00D94EE4">
        <w:rPr>
          <w:b/>
          <w:bCs/>
          <w:vertAlign w:val="subscript"/>
          <w:lang w:eastAsia="en-GB"/>
        </w:rPr>
        <w:t>a</w:t>
      </w:r>
      <w:r w:rsidRPr="00D94EE4">
        <w:rPr>
          <w:vertAlign w:val="subscript"/>
          <w:lang w:eastAsia="en-GB"/>
        </w:rPr>
        <w:t xml:space="preserve"> </w:t>
      </w:r>
      <w:r>
        <w:rPr>
          <w:lang w:eastAsia="en-GB"/>
        </w:rPr>
        <w:t>è il coefficiente per il miglioramento previsto della qualità e delle caratteristiche delle prestazioni erogate agli utenti, che può assumere un valore nei limiti della tabella di cui al comma 4.4 del MTR;</w:t>
      </w:r>
    </w:p>
    <w:p w14:paraId="4F548BC1" w14:textId="77777777" w:rsidR="00D94EE4" w:rsidRPr="00D94EE4" w:rsidRDefault="00D94EE4" w:rsidP="00C76337">
      <w:pPr>
        <w:pStyle w:val="Paragrafoelenco"/>
        <w:numPr>
          <w:ilvl w:val="0"/>
          <w:numId w:val="9"/>
        </w:numPr>
        <w:jc w:val="both"/>
        <w:rPr>
          <w:lang w:eastAsia="en-GB"/>
        </w:rPr>
      </w:pPr>
      <w:r w:rsidRPr="00D94EE4">
        <w:rPr>
          <w:b/>
          <w:bCs/>
          <w:lang w:eastAsia="en-GB"/>
        </w:rPr>
        <w:t>PG</w:t>
      </w:r>
      <w:r w:rsidRPr="00D94EE4">
        <w:rPr>
          <w:b/>
          <w:bCs/>
          <w:vertAlign w:val="subscript"/>
          <w:lang w:eastAsia="en-GB"/>
        </w:rPr>
        <w:t>a</w:t>
      </w:r>
      <w:r>
        <w:rPr>
          <w:lang w:eastAsia="en-GB"/>
        </w:rPr>
        <w:t xml:space="preserve"> è il coefficiente per la valorizzazione di modifiche del perimetro gestionale con riferimento ad aspetti tecnici e/o operativi, che può assumere un valore nei limiti della tabella di cui al 4.4 del MTR.</w:t>
      </w:r>
    </w:p>
    <w:p w14:paraId="79825954" w14:textId="77777777" w:rsidR="00450B82" w:rsidRDefault="00450B82" w:rsidP="00450B82">
      <w:pPr>
        <w:rPr>
          <w:lang w:eastAsia="en-GB"/>
        </w:rPr>
      </w:pPr>
      <w:r>
        <w:rPr>
          <w:lang w:eastAsia="en-GB"/>
        </w:rPr>
        <w:t xml:space="preserve">Non essendo previste </w:t>
      </w:r>
      <w:r w:rsidRPr="00D0367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w:t>
      </w:r>
      <w:r>
        <w:rPr>
          <w:rFonts w:asciiTheme="minorHAnsi" w:hAnsiTheme="minorHAnsi"/>
        </w:rPr>
        <w:t>e</w:t>
      </w:r>
      <w:r w:rsidRPr="00D0367A">
        <w:rPr>
          <w:rFonts w:asciiTheme="minorHAnsi" w:hAnsiTheme="minorHAnsi"/>
        </w:rPr>
        <w:t xml:space="preserve"> agli utenti</w:t>
      </w:r>
      <w:r>
        <w:rPr>
          <w:rFonts w:asciiTheme="minorHAnsi" w:hAnsiTheme="minorHAnsi"/>
        </w:rPr>
        <w:t>, il valore della componente QL</w:t>
      </w:r>
      <w:r w:rsidRPr="00450B82">
        <w:rPr>
          <w:rFonts w:asciiTheme="minorHAnsi" w:hAnsiTheme="minorHAnsi"/>
          <w:vertAlign w:val="subscript"/>
        </w:rPr>
        <w:t>a</w:t>
      </w:r>
      <w:r>
        <w:rPr>
          <w:rFonts w:asciiTheme="minorHAnsi" w:hAnsiTheme="minorHAnsi"/>
          <w:vertAlign w:val="subscript"/>
        </w:rPr>
        <w:t xml:space="preserve"> </w:t>
      </w:r>
      <w:r>
        <w:rPr>
          <w:rFonts w:asciiTheme="minorHAnsi" w:hAnsiTheme="minorHAnsi"/>
        </w:rPr>
        <w:t xml:space="preserve">concorrente al calcolo del </w:t>
      </w:r>
      <w:r w:rsidRPr="00000BF5">
        <w:rPr>
          <w:b/>
          <w:bCs/>
          <w:i/>
          <w:iCs/>
          <w:lang w:eastAsia="en-GB"/>
        </w:rPr>
        <w:t>ρ</w:t>
      </w:r>
      <w:r w:rsidRPr="00000BF5">
        <w:rPr>
          <w:b/>
          <w:bCs/>
          <w:i/>
          <w:iCs/>
          <w:vertAlign w:val="subscript"/>
          <w:lang w:eastAsia="en-GB"/>
        </w:rPr>
        <w:t>a</w:t>
      </w:r>
      <w:r>
        <w:rPr>
          <w:b/>
          <w:bCs/>
          <w:i/>
          <w:iCs/>
          <w:vertAlign w:val="subscript"/>
          <w:lang w:eastAsia="en-GB"/>
        </w:rPr>
        <w:t xml:space="preserve"> </w:t>
      </w:r>
      <w:r>
        <w:rPr>
          <w:lang w:eastAsia="en-GB"/>
        </w:rPr>
        <w:t>assume il valore di 0%.</w:t>
      </w:r>
    </w:p>
    <w:p w14:paraId="18A9F323" w14:textId="77777777" w:rsidR="00450B82" w:rsidRDefault="001A571F" w:rsidP="004C327F">
      <w:pPr>
        <w:rPr>
          <w:lang w:eastAsia="en-GB"/>
        </w:rPr>
      </w:pPr>
      <w:r>
        <w:rPr>
          <w:rFonts w:asciiTheme="minorHAnsi" w:hAnsiTheme="minorHAnsi"/>
        </w:rPr>
        <w:t xml:space="preserve">Non essendo previste </w:t>
      </w:r>
      <w:r w:rsidRPr="003928D5">
        <w:rPr>
          <w:rFonts w:asciiTheme="minorHAnsi" w:hAnsiTheme="minorHAnsi"/>
        </w:rPr>
        <w:t>variazioni attese di perimetro (PG) costituite dalla variazione delle attività effettuate</w:t>
      </w:r>
      <w:r>
        <w:rPr>
          <w:rFonts w:asciiTheme="minorHAnsi" w:hAnsiTheme="minorHAnsi"/>
        </w:rPr>
        <w:t xml:space="preserve"> dal gestore, il valore della componente PG</w:t>
      </w:r>
      <w:r w:rsidRPr="001A571F">
        <w:rPr>
          <w:rFonts w:asciiTheme="minorHAnsi" w:hAnsiTheme="minorHAnsi"/>
          <w:vertAlign w:val="subscript"/>
        </w:rPr>
        <w:t>a</w:t>
      </w:r>
      <w:r>
        <w:rPr>
          <w:rFonts w:asciiTheme="minorHAnsi" w:hAnsiTheme="minorHAnsi"/>
          <w:vertAlign w:val="subscript"/>
        </w:rPr>
        <w:t xml:space="preserve"> </w:t>
      </w:r>
      <w:r>
        <w:rPr>
          <w:rFonts w:asciiTheme="minorHAnsi" w:hAnsiTheme="minorHAnsi"/>
        </w:rPr>
        <w:t xml:space="preserve">concorrente al calcolo del </w:t>
      </w:r>
      <w:r w:rsidRPr="00000BF5">
        <w:rPr>
          <w:b/>
          <w:bCs/>
          <w:i/>
          <w:iCs/>
          <w:lang w:eastAsia="en-GB"/>
        </w:rPr>
        <w:t>ρ</w:t>
      </w:r>
      <w:r w:rsidRPr="00000BF5">
        <w:rPr>
          <w:b/>
          <w:bCs/>
          <w:i/>
          <w:iCs/>
          <w:vertAlign w:val="subscript"/>
          <w:lang w:eastAsia="en-GB"/>
        </w:rPr>
        <w:t>a</w:t>
      </w:r>
      <w:r>
        <w:rPr>
          <w:b/>
          <w:bCs/>
          <w:i/>
          <w:iCs/>
          <w:vertAlign w:val="subscript"/>
          <w:lang w:eastAsia="en-GB"/>
        </w:rPr>
        <w:t xml:space="preserve"> </w:t>
      </w:r>
      <w:r>
        <w:rPr>
          <w:lang w:eastAsia="en-GB"/>
        </w:rPr>
        <w:t>assume il valore di 0%.</w:t>
      </w:r>
    </w:p>
    <w:p w14:paraId="4AE156DD" w14:textId="77777777" w:rsidR="001A571F" w:rsidRPr="001A571F" w:rsidRDefault="001A571F" w:rsidP="004C327F">
      <w:pPr>
        <w:rPr>
          <w:lang w:eastAsia="en-GB"/>
        </w:rPr>
      </w:pPr>
      <w:r>
        <w:rPr>
          <w:lang w:eastAsia="en-GB"/>
        </w:rPr>
        <w:t xml:space="preserve">Alla luce delle considerazioni sopraesposte l’ente ha proceduto al calcolo del parametro </w:t>
      </w:r>
      <w:r w:rsidRPr="00000BF5">
        <w:rPr>
          <w:b/>
          <w:bCs/>
          <w:i/>
          <w:iCs/>
          <w:lang w:eastAsia="en-GB"/>
        </w:rPr>
        <w:t>ρ</w:t>
      </w:r>
      <w:r w:rsidRPr="00DC4A89">
        <w:rPr>
          <w:b/>
          <w:bCs/>
          <w:i/>
          <w:iCs/>
          <w:vertAlign w:val="subscript"/>
          <w:lang w:eastAsia="en-GB"/>
        </w:rPr>
        <w:t>a</w:t>
      </w:r>
      <w:r>
        <w:rPr>
          <w:b/>
          <w:bCs/>
          <w:i/>
          <w:iCs/>
          <w:vertAlign w:val="subscript"/>
          <w:lang w:eastAsia="en-GB"/>
        </w:rPr>
        <w:t xml:space="preserve"> </w:t>
      </w:r>
      <w:r>
        <w:rPr>
          <w:lang w:eastAsia="en-GB"/>
        </w:rPr>
        <w:t>come da tabella seguente:</w:t>
      </w:r>
    </w:p>
    <w:p w14:paraId="41CE2B43" w14:textId="77777777" w:rsidR="00DC4A89" w:rsidRDefault="00DC4A89" w:rsidP="004C327F">
      <w:pPr>
        <w:rPr>
          <w:lang w:eastAsia="en-GB"/>
        </w:rPr>
      </w:pPr>
    </w:p>
    <w:tbl>
      <w:tblPr>
        <w:tblStyle w:val="Tabellagriglia1chiara-colore11"/>
        <w:tblW w:w="0" w:type="auto"/>
        <w:tblInd w:w="108" w:type="dxa"/>
        <w:tblLook w:val="04A0" w:firstRow="1" w:lastRow="0" w:firstColumn="1" w:lastColumn="0" w:noHBand="0" w:noVBand="1"/>
      </w:tblPr>
      <w:tblGrid>
        <w:gridCol w:w="1217"/>
        <w:gridCol w:w="7655"/>
        <w:gridCol w:w="767"/>
      </w:tblGrid>
      <w:tr w:rsidR="00DC4A89" w14:paraId="645B6251" w14:textId="77777777" w:rsidTr="00FC049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7" w:type="dxa"/>
          </w:tcPr>
          <w:p w14:paraId="1D5E6E0D" w14:textId="77777777" w:rsidR="00DC4A89" w:rsidRDefault="002B19B3" w:rsidP="001E43AA">
            <w:pPr>
              <w:jc w:val="center"/>
              <w:rPr>
                <w:lang w:eastAsia="en-GB"/>
              </w:rPr>
            </w:pPr>
            <w:r>
              <w:rPr>
                <w:lang w:eastAsia="en-GB"/>
              </w:rPr>
              <w:t>Coefficiente</w:t>
            </w:r>
          </w:p>
        </w:tc>
        <w:tc>
          <w:tcPr>
            <w:tcW w:w="7655" w:type="dxa"/>
          </w:tcPr>
          <w:p w14:paraId="4AB0B1DA"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c>
          <w:tcPr>
            <w:tcW w:w="767" w:type="dxa"/>
          </w:tcPr>
          <w:p w14:paraId="77A3DCD2"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Valore</w:t>
            </w:r>
          </w:p>
        </w:tc>
      </w:tr>
      <w:tr w:rsidR="00DC4A89" w14:paraId="39804645"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20D7AB59" w14:textId="77777777" w:rsidR="00DC4A89" w:rsidRPr="00DC4A89" w:rsidRDefault="00DC4A89" w:rsidP="001E43AA">
            <w:pPr>
              <w:jc w:val="center"/>
              <w:rPr>
                <w:i/>
                <w:iCs/>
                <w:lang w:eastAsia="en-GB"/>
              </w:rPr>
            </w:pPr>
            <w:r w:rsidRPr="00DC4A89">
              <w:rPr>
                <w:i/>
                <w:iCs/>
                <w:lang w:eastAsia="en-GB"/>
              </w:rPr>
              <w:t>rpi</w:t>
            </w:r>
            <w:r w:rsidRPr="00DC4A89">
              <w:rPr>
                <w:i/>
                <w:iCs/>
                <w:vertAlign w:val="subscript"/>
                <w:lang w:eastAsia="en-GB"/>
              </w:rPr>
              <w:t>a</w:t>
            </w:r>
          </w:p>
        </w:tc>
        <w:tc>
          <w:tcPr>
            <w:tcW w:w="7655" w:type="dxa"/>
          </w:tcPr>
          <w:p w14:paraId="0CD53AB8"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Tasso di inflazione programmata</w:t>
            </w:r>
          </w:p>
        </w:tc>
        <w:tc>
          <w:tcPr>
            <w:tcW w:w="767" w:type="dxa"/>
          </w:tcPr>
          <w:p w14:paraId="6B3A5FF6" w14:textId="77777777" w:rsidR="00DC4A89"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Pr>
                <w:lang w:eastAsia="en-GB"/>
              </w:rPr>
              <w:t>1,7%</w:t>
            </w:r>
          </w:p>
        </w:tc>
      </w:tr>
      <w:tr w:rsidR="00DC4A89" w14:paraId="2DB69974"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0914A01C" w14:textId="77777777" w:rsidR="00DC4A89" w:rsidRPr="00DC4A89" w:rsidRDefault="00DC4A89" w:rsidP="001E43AA">
            <w:pPr>
              <w:jc w:val="center"/>
              <w:rPr>
                <w:i/>
                <w:iCs/>
                <w:lang w:eastAsia="en-GB"/>
              </w:rPr>
            </w:pPr>
            <w:r w:rsidRPr="00DC4A89">
              <w:rPr>
                <w:i/>
                <w:iCs/>
                <w:lang w:eastAsia="en-GB"/>
              </w:rPr>
              <w:t>X</w:t>
            </w:r>
            <w:r w:rsidRPr="00DC4A89">
              <w:rPr>
                <w:i/>
                <w:iCs/>
                <w:vertAlign w:val="subscript"/>
                <w:lang w:eastAsia="en-GB"/>
              </w:rPr>
              <w:t>a</w:t>
            </w:r>
          </w:p>
        </w:tc>
        <w:tc>
          <w:tcPr>
            <w:tcW w:w="7655" w:type="dxa"/>
          </w:tcPr>
          <w:p w14:paraId="774EF9E1"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di recupero della produttività</w:t>
            </w:r>
          </w:p>
        </w:tc>
        <w:tc>
          <w:tcPr>
            <w:tcW w:w="767" w:type="dxa"/>
          </w:tcPr>
          <w:p w14:paraId="2BD53748" w14:textId="77777777" w:rsidR="00DC4A89" w:rsidRPr="00CB19B5"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0,1%</w:t>
            </w:r>
          </w:p>
        </w:tc>
      </w:tr>
      <w:tr w:rsidR="00DC4A89" w14:paraId="49467493"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5129B7E1" w14:textId="77777777" w:rsidR="00DC4A89" w:rsidRPr="002B19B3" w:rsidRDefault="00DC4A89" w:rsidP="001E43AA">
            <w:pPr>
              <w:jc w:val="center"/>
              <w:rPr>
                <w:i/>
                <w:iCs/>
                <w:lang w:eastAsia="en-GB"/>
              </w:rPr>
            </w:pPr>
            <w:r w:rsidRPr="002B19B3">
              <w:rPr>
                <w:i/>
                <w:iCs/>
                <w:lang w:eastAsia="en-GB"/>
              </w:rPr>
              <w:t>QL</w:t>
            </w:r>
            <w:r w:rsidR="002B19B3" w:rsidRPr="002B19B3">
              <w:rPr>
                <w:i/>
                <w:iCs/>
                <w:vertAlign w:val="subscript"/>
                <w:lang w:eastAsia="en-GB"/>
              </w:rPr>
              <w:t>a</w:t>
            </w:r>
          </w:p>
        </w:tc>
        <w:tc>
          <w:tcPr>
            <w:tcW w:w="7655" w:type="dxa"/>
          </w:tcPr>
          <w:p w14:paraId="48800A2E"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il miglioramento previsto della qualità e delle caratteristiche delle prestazioni erogate agli utenti</w:t>
            </w:r>
          </w:p>
        </w:tc>
        <w:tc>
          <w:tcPr>
            <w:tcW w:w="767" w:type="dxa"/>
          </w:tcPr>
          <w:p w14:paraId="73135F93"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DC4A89" w14:paraId="6424CDF5"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2EF31414" w14:textId="77777777" w:rsidR="00DC4A89" w:rsidRPr="002B19B3" w:rsidRDefault="002B19B3" w:rsidP="001E43AA">
            <w:pPr>
              <w:jc w:val="center"/>
              <w:rPr>
                <w:i/>
                <w:iCs/>
                <w:lang w:eastAsia="en-GB"/>
              </w:rPr>
            </w:pPr>
            <w:r w:rsidRPr="002B19B3">
              <w:rPr>
                <w:i/>
                <w:iCs/>
                <w:lang w:eastAsia="en-GB"/>
              </w:rPr>
              <w:t>PG</w:t>
            </w:r>
            <w:r w:rsidRPr="002B19B3">
              <w:rPr>
                <w:i/>
                <w:iCs/>
                <w:vertAlign w:val="subscript"/>
                <w:lang w:eastAsia="en-GB"/>
              </w:rPr>
              <w:t>a</w:t>
            </w:r>
          </w:p>
        </w:tc>
        <w:tc>
          <w:tcPr>
            <w:tcW w:w="7655" w:type="dxa"/>
          </w:tcPr>
          <w:p w14:paraId="3E561397"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la valorizzazione di modifiche del perimetro gestionale con riferimento ad aspetti tecnici e/o operativi</w:t>
            </w:r>
          </w:p>
        </w:tc>
        <w:tc>
          <w:tcPr>
            <w:tcW w:w="767" w:type="dxa"/>
          </w:tcPr>
          <w:p w14:paraId="073A56E9"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1A571F" w14:paraId="4D9D7C44"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72FE1B60" w14:textId="77777777" w:rsidR="001A571F" w:rsidRPr="001A571F" w:rsidRDefault="001A571F" w:rsidP="001E43AA">
            <w:pPr>
              <w:jc w:val="center"/>
              <w:rPr>
                <w:lang w:eastAsia="en-GB"/>
              </w:rPr>
            </w:pPr>
            <w:r w:rsidRPr="001A571F">
              <w:rPr>
                <w:lang w:eastAsia="en-GB"/>
              </w:rPr>
              <w:t>ρ</w:t>
            </w:r>
            <w:r w:rsidRPr="001A571F">
              <w:rPr>
                <w:vertAlign w:val="subscript"/>
                <w:lang w:eastAsia="en-GB"/>
              </w:rPr>
              <w:t>a</w:t>
            </w:r>
          </w:p>
        </w:tc>
        <w:tc>
          <w:tcPr>
            <w:tcW w:w="7655" w:type="dxa"/>
          </w:tcPr>
          <w:p w14:paraId="196D16E2" w14:textId="77777777" w:rsidR="001A571F" w:rsidRDefault="001A571F"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Parametro per la determinazione del limite alla crescita delle tariffe</w:t>
            </w:r>
          </w:p>
        </w:tc>
        <w:tc>
          <w:tcPr>
            <w:tcW w:w="767" w:type="dxa"/>
          </w:tcPr>
          <w:p w14:paraId="091389E3" w14:textId="77777777" w:rsidR="001A571F" w:rsidRPr="001A571F" w:rsidRDefault="009302E6" w:rsidP="00DC4A89">
            <w:pPr>
              <w:jc w:val="center"/>
              <w:cnfStyle w:val="000000000000" w:firstRow="0" w:lastRow="0" w:firstColumn="0" w:lastColumn="0" w:oddVBand="0" w:evenVBand="0" w:oddHBand="0" w:evenHBand="0" w:firstRowFirstColumn="0" w:firstRowLastColumn="0" w:lastRowFirstColumn="0" w:lastRowLastColumn="0"/>
              <w:rPr>
                <w:b/>
                <w:bCs/>
                <w:highlight w:val="yellow"/>
                <w:lang w:eastAsia="en-GB"/>
              </w:rPr>
            </w:pPr>
            <w:r>
              <w:rPr>
                <w:b/>
                <w:bCs/>
                <w:lang w:eastAsia="en-GB"/>
              </w:rPr>
              <w:t>1,6</w:t>
            </w:r>
            <w:r w:rsidR="001A571F" w:rsidRPr="001A571F">
              <w:rPr>
                <w:b/>
                <w:bCs/>
                <w:lang w:eastAsia="en-GB"/>
              </w:rPr>
              <w:t>%</w:t>
            </w:r>
          </w:p>
        </w:tc>
      </w:tr>
    </w:tbl>
    <w:p w14:paraId="2DB51C63" w14:textId="77777777" w:rsidR="00215F27" w:rsidRDefault="00215F27" w:rsidP="007B2E8C">
      <w:pPr>
        <w:rPr>
          <w:lang w:eastAsia="en-GB"/>
        </w:rPr>
      </w:pPr>
    </w:p>
    <w:p w14:paraId="180EDA15" w14:textId="77777777" w:rsidR="007B2E8C" w:rsidRPr="006664C2" w:rsidRDefault="007B2E8C" w:rsidP="007B2E8C">
      <w:pPr>
        <w:rPr>
          <w:lang w:eastAsia="en-GB"/>
        </w:rPr>
      </w:pPr>
      <w:r w:rsidRPr="00215F27">
        <w:rPr>
          <w:lang w:eastAsia="en-GB"/>
        </w:rPr>
        <w:t>Le tariffe calcolate secondo il MTR per l’anno 2020, così come rappresentate nel PEF allegato, ammontano ad un importo superiore rispetto all’importo massimo sopra determinato e pertanto il limite alla variazione annuale delle entrate ta</w:t>
      </w:r>
      <w:r w:rsidR="00A90E84">
        <w:rPr>
          <w:lang w:eastAsia="en-GB"/>
        </w:rPr>
        <w:t xml:space="preserve">riffarie non risulta </w:t>
      </w:r>
      <w:r w:rsidR="00A90E84" w:rsidRPr="006664C2">
        <w:rPr>
          <w:lang w:eastAsia="en-GB"/>
        </w:rPr>
        <w:t>rispettato ad eccezzione del Comune di Montegrosso Grana.</w:t>
      </w:r>
    </w:p>
    <w:p w14:paraId="0CD1227C" w14:textId="77777777" w:rsidR="007B2E8C" w:rsidRDefault="007B2E8C" w:rsidP="007B2E8C">
      <w:pPr>
        <w:rPr>
          <w:lang w:eastAsia="en-GB"/>
        </w:rPr>
      </w:pPr>
      <w:r w:rsidRPr="006664C2">
        <w:rPr>
          <w:lang w:eastAsia="en-GB"/>
        </w:rPr>
        <w:t>Per i necessari approfondimenti si rimanda al seguente paragrafo 4.4 della presente relazione</w:t>
      </w:r>
      <w:r w:rsidRPr="00215F27">
        <w:rPr>
          <w:lang w:eastAsia="en-GB"/>
        </w:rPr>
        <w:t>.</w:t>
      </w:r>
    </w:p>
    <w:p w14:paraId="4E24B421" w14:textId="77777777" w:rsidR="00596B68" w:rsidRPr="00000BF5" w:rsidRDefault="00596B68" w:rsidP="009926DE">
      <w:pPr>
        <w:rPr>
          <w:lang w:eastAsia="en-GB"/>
        </w:rPr>
      </w:pPr>
    </w:p>
    <w:p w14:paraId="711F41F5" w14:textId="77777777" w:rsidR="003E2AEF" w:rsidRDefault="003E2AEF" w:rsidP="00CA75F4">
      <w:pPr>
        <w:pStyle w:val="Titolo2"/>
      </w:pPr>
      <w:bookmarkStart w:id="34" w:name="_Toc44317314"/>
      <w:bookmarkStart w:id="35" w:name="_Toc44317361"/>
      <w:bookmarkStart w:id="36" w:name="_Toc44317315"/>
      <w:bookmarkStart w:id="37" w:name="_Toc44317362"/>
      <w:bookmarkStart w:id="38" w:name="_Toc44317325"/>
      <w:bookmarkStart w:id="39" w:name="_Toc44317372"/>
      <w:bookmarkStart w:id="40" w:name="_Toc44317326"/>
      <w:bookmarkStart w:id="41" w:name="_Toc44317373"/>
      <w:bookmarkStart w:id="42" w:name="_Toc44317327"/>
      <w:bookmarkStart w:id="43" w:name="_Toc44317374"/>
      <w:bookmarkStart w:id="44" w:name="_Toc44317328"/>
      <w:bookmarkStart w:id="45" w:name="_Toc44317375"/>
      <w:bookmarkStart w:id="46" w:name="_Toc44317329"/>
      <w:bookmarkStart w:id="47" w:name="_Toc44317376"/>
      <w:bookmarkStart w:id="48" w:name="_Toc44317330"/>
      <w:bookmarkStart w:id="49" w:name="_Toc44317377"/>
      <w:bookmarkStart w:id="50" w:name="_Toc4552838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t>Costi operativi incentivanti</w:t>
      </w:r>
      <w:bookmarkEnd w:id="50"/>
    </w:p>
    <w:p w14:paraId="57324A64" w14:textId="77777777" w:rsidR="003E2AEF" w:rsidRDefault="003E2AEF" w:rsidP="003E2AEF">
      <w:pPr>
        <w:rPr>
          <w:lang w:eastAsia="en-GB"/>
        </w:rPr>
      </w:pPr>
      <w:r>
        <w:rPr>
          <w:lang w:eastAsia="en-GB"/>
        </w:rPr>
        <w:t>Così come previsto dall’articolo 8</w:t>
      </w:r>
      <w:r w:rsidR="008B3C56">
        <w:rPr>
          <w:lang w:eastAsia="en-GB"/>
        </w:rPr>
        <w:t xml:space="preserve">.1 della </w:t>
      </w:r>
      <w:r w:rsidR="008B3C56" w:rsidRPr="00F50F6A">
        <w:rPr>
          <w:rFonts w:asciiTheme="minorHAnsi" w:hAnsiTheme="minorHAnsi"/>
        </w:rPr>
        <w:t>deliberazione 443/2019/R/</w:t>
      </w:r>
      <w:r w:rsidR="008B3C56" w:rsidRPr="00F50F6A">
        <w:rPr>
          <w:rFonts w:asciiTheme="minorHAnsi" w:hAnsiTheme="minorHAnsi"/>
          <w:smallCaps/>
        </w:rPr>
        <w:t>rif</w:t>
      </w:r>
      <w:r>
        <w:rPr>
          <w:lang w:eastAsia="en-GB"/>
        </w:rPr>
        <w:t xml:space="preserve"> </w:t>
      </w:r>
      <w:r w:rsidR="008B3C56">
        <w:rPr>
          <w:lang w:eastAsia="en-GB"/>
        </w:rPr>
        <w:t>l’Ente territorialmente competente promuove il miglioramento del servizio prestato a costi efficienti, fissando obiettivi specifici da conseguire e, coerentemente, determinando i valori QL</w:t>
      </w:r>
      <w:r w:rsidR="008B3C56" w:rsidRPr="008B3C56">
        <w:rPr>
          <w:vertAlign w:val="subscript"/>
          <w:lang w:eastAsia="en-GB"/>
        </w:rPr>
        <w:t>a</w:t>
      </w:r>
      <w:r w:rsidR="008B3C56">
        <w:rPr>
          <w:lang w:eastAsia="en-GB"/>
        </w:rPr>
        <w:t xml:space="preserve"> e PG</w:t>
      </w:r>
      <w:r w:rsidR="008B3C56" w:rsidRPr="008B3C56">
        <w:rPr>
          <w:vertAlign w:val="subscript"/>
          <w:lang w:eastAsia="en-GB"/>
        </w:rPr>
        <w:t>a</w:t>
      </w:r>
      <w:r w:rsidR="008B3C56">
        <w:rPr>
          <w:lang w:eastAsia="en-GB"/>
        </w:rPr>
        <w:t>, nei limiti fissati al comma 4.4 del MTR.</w:t>
      </w:r>
    </w:p>
    <w:p w14:paraId="3F5CB7DE" w14:textId="77777777" w:rsidR="008B3C56" w:rsidRDefault="008B3C56" w:rsidP="00EF3865">
      <w:pPr>
        <w:rPr>
          <w:lang w:eastAsia="en-GB"/>
        </w:rPr>
      </w:pPr>
      <w:r>
        <w:rPr>
          <w:lang w:eastAsia="en-GB"/>
        </w:rPr>
        <w:t xml:space="preserve">L’ente ha facoltà di favorire il conseguimento di tali obiettivi di miglioramento, ove necessario, mediante l’introduzione delle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nel caso in cui si verifichino co</w:t>
      </w:r>
      <w:r w:rsidR="00C76337">
        <w:rPr>
          <w:lang w:eastAsia="en-GB"/>
        </w:rPr>
        <w:t>ngiuntamente</w:t>
      </w:r>
      <w:r w:rsidR="00D602C9">
        <w:rPr>
          <w:lang w:eastAsia="en-GB"/>
        </w:rPr>
        <w:t xml:space="preserve"> le seguenti condizioni:</w:t>
      </w:r>
    </w:p>
    <w:p w14:paraId="63069BCF" w14:textId="77777777" w:rsidR="00D602C9" w:rsidRDefault="00D602C9" w:rsidP="00EF3865">
      <w:pPr>
        <w:pStyle w:val="Paragrafoelenco"/>
        <w:numPr>
          <w:ilvl w:val="0"/>
          <w:numId w:val="9"/>
        </w:numPr>
        <w:jc w:val="both"/>
        <w:rPr>
          <w:lang w:eastAsia="en-GB"/>
        </w:rPr>
      </w:pPr>
      <w:r>
        <w:rPr>
          <w:lang w:eastAsia="en-GB"/>
        </w:rPr>
        <w:t>sia possibile identificare puntualmente la corrispondenza tra il target di miglioramento da conseguire e le citate componenti;</w:t>
      </w:r>
    </w:p>
    <w:p w14:paraId="0F943E14" w14:textId="77777777" w:rsidR="00D602C9" w:rsidRDefault="00D602C9" w:rsidP="00EF3865">
      <w:pPr>
        <w:pStyle w:val="Paragrafoelenco"/>
        <w:numPr>
          <w:ilvl w:val="0"/>
          <w:numId w:val="9"/>
        </w:numPr>
        <w:jc w:val="both"/>
        <w:rPr>
          <w:lang w:eastAsia="en-GB"/>
        </w:rPr>
      </w:pPr>
      <w:r>
        <w:rPr>
          <w:lang w:eastAsia="en-GB"/>
        </w:rPr>
        <w:t>la valorizzazione delle medesime possa essere effettuata sulla base di dati oggettivi, verificabili e ispirati all’efficienza dei costi, tenuto conto dei potenziali effetti di scala.</w:t>
      </w:r>
    </w:p>
    <w:p w14:paraId="451E2BA1" w14:textId="77777777" w:rsidR="00D602C9" w:rsidRDefault="006C17C1" w:rsidP="0097270A">
      <w:pPr>
        <w:jc w:val="left"/>
        <w:rPr>
          <w:rFonts w:asciiTheme="minorHAnsi" w:hAnsiTheme="minorHAnsi"/>
          <w:color w:val="0070C0"/>
        </w:rPr>
      </w:pPr>
      <w:r>
        <w:rPr>
          <w:lang w:eastAsia="en-GB"/>
        </w:rPr>
        <w:t xml:space="preserve">Con riferimento a quanto evidenziato dal Gestore, </w:t>
      </w:r>
      <w:r w:rsidR="00D602C9">
        <w:rPr>
          <w:lang w:eastAsia="en-GB"/>
        </w:rPr>
        <w:t xml:space="preserve">l’ente </w:t>
      </w:r>
      <w:r w:rsidR="000D148E">
        <w:rPr>
          <w:lang w:eastAsia="en-GB"/>
        </w:rPr>
        <w:t xml:space="preserve">non </w:t>
      </w:r>
      <w:r w:rsidR="00EE65A4">
        <w:rPr>
          <w:lang w:eastAsia="en-GB"/>
        </w:rPr>
        <w:t>ha previsto</w:t>
      </w:r>
      <w:r>
        <w:rPr>
          <w:lang w:eastAsia="en-GB"/>
        </w:rPr>
        <w:t xml:space="preserve"> una </w:t>
      </w:r>
      <w:r w:rsidR="00D602C9">
        <w:rPr>
          <w:lang w:eastAsia="en-GB"/>
        </w:rPr>
        <w:t>valorizza</w:t>
      </w:r>
      <w:r>
        <w:rPr>
          <w:lang w:eastAsia="en-GB"/>
        </w:rPr>
        <w:t>zione</w:t>
      </w:r>
      <w:r w:rsidR="00D602C9">
        <w:rPr>
          <w:lang w:eastAsia="en-GB"/>
        </w:rPr>
        <w:t xml:space="preserve"> </w:t>
      </w:r>
      <w:r>
        <w:rPr>
          <w:lang w:eastAsia="en-GB"/>
        </w:rPr>
        <w:t>del</w:t>
      </w:r>
      <w:r w:rsidR="00D602C9">
        <w:rPr>
          <w:lang w:eastAsia="en-GB"/>
        </w:rPr>
        <w:t xml:space="preserve">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w:t>
      </w:r>
    </w:p>
    <w:p w14:paraId="317C9954" w14:textId="77777777" w:rsidR="00190B41" w:rsidRPr="00190B41" w:rsidRDefault="00190B41" w:rsidP="00D602C9">
      <w:pPr>
        <w:rPr>
          <w:rFonts w:asciiTheme="minorHAnsi" w:hAnsiTheme="minorHAnsi"/>
          <w:smallCaps/>
        </w:rPr>
      </w:pPr>
    </w:p>
    <w:p w14:paraId="1412FD31" w14:textId="77777777" w:rsidR="007B2E8C" w:rsidRPr="00215F27" w:rsidRDefault="00190B41" w:rsidP="00EF3865">
      <w:pPr>
        <w:pStyle w:val="Titolo2"/>
      </w:pPr>
      <w:bookmarkStart w:id="51" w:name="_Toc45528383"/>
      <w:r>
        <w:lastRenderedPageBreak/>
        <w:t>Eventuale superamento del limite alla crescita annuale delle entrate tariffarie</w:t>
      </w:r>
      <w:bookmarkEnd w:id="51"/>
    </w:p>
    <w:p w14:paraId="3787F3D4" w14:textId="77777777" w:rsidR="007B2E8C" w:rsidRDefault="007B2E8C" w:rsidP="007B2E8C">
      <w:pPr>
        <w:rPr>
          <w:lang w:eastAsia="en-GB"/>
        </w:rPr>
      </w:pPr>
      <w:r w:rsidRPr="006664C2">
        <w:rPr>
          <w:lang w:eastAsia="en-GB"/>
        </w:rPr>
        <w:t>Ad integrazione di quanto espresso al paragrafo 4.2 della presente relazione e sulla base dai rapporti contrattuali tra Gestore e Consorzio, nel caso di superamento del limite alla crescita annuale, ETC ha deciso di approvare le tariffe 2020 recependo il valore del limite, opportunamente riproporzionato tra componente fissa e componente variabile.</w:t>
      </w:r>
    </w:p>
    <w:p w14:paraId="75A1DA3D" w14:textId="77777777" w:rsidR="00596B68" w:rsidRDefault="00596B68" w:rsidP="009F11A5">
      <w:pPr>
        <w:rPr>
          <w:rFonts w:asciiTheme="minorHAnsi" w:hAnsiTheme="minorHAnsi"/>
          <w:lang w:eastAsia="en-GB"/>
        </w:rPr>
      </w:pPr>
    </w:p>
    <w:p w14:paraId="5D3E4846" w14:textId="77777777" w:rsidR="005E5AA2" w:rsidRDefault="005E5AA2" w:rsidP="00C25BAD">
      <w:pPr>
        <w:pStyle w:val="Titolo2"/>
        <w:jc w:val="both"/>
      </w:pPr>
      <w:bookmarkStart w:id="52" w:name="_Toc45528384"/>
      <w:r>
        <w:t>Focus sulla gradualità per le annualità 2018 e 2019</w:t>
      </w:r>
      <w:bookmarkEnd w:id="52"/>
    </w:p>
    <w:p w14:paraId="396797D9" w14:textId="77777777" w:rsidR="005E5AA2" w:rsidRDefault="005E5AA2" w:rsidP="00C25BAD">
      <w:pPr>
        <w:rPr>
          <w:lang w:eastAsia="en-GB"/>
        </w:rPr>
      </w:pPr>
      <w:r>
        <w:rPr>
          <w:lang w:eastAsia="en-GB"/>
        </w:rPr>
        <w:t>Sulla base di quanto comunicato dal gestore e verificato dallo scrivente ente</w:t>
      </w:r>
      <w:r w:rsidR="00EE65A4">
        <w:rPr>
          <w:lang w:eastAsia="en-GB"/>
        </w:rPr>
        <w:t>,</w:t>
      </w:r>
      <w:r>
        <w:rPr>
          <w:lang w:eastAsia="en-GB"/>
        </w:rPr>
        <w:t xml:space="preserve"> </w:t>
      </w:r>
      <w:r w:rsidR="00EE65A4">
        <w:rPr>
          <w:lang w:eastAsia="en-GB"/>
        </w:rPr>
        <w:t xml:space="preserve">nel presente paragrafo vengono descritte </w:t>
      </w:r>
      <w:r>
        <w:rPr>
          <w:lang w:eastAsia="en-GB"/>
        </w:rPr>
        <w:t xml:space="preserve">le componenti </w:t>
      </w:r>
      <w:r w:rsidR="00EE65A4">
        <w:rPr>
          <w:lang w:eastAsia="en-GB"/>
        </w:rPr>
        <w:t xml:space="preserve">di costo </w:t>
      </w:r>
      <w:r>
        <w:rPr>
          <w:lang w:eastAsia="en-GB"/>
        </w:rPr>
        <w:t>alla base della valorizzazione della componente a conguaglio relativa ai costi variabili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TV,a</m:t>
            </m:r>
          </m:sub>
        </m:sSub>
      </m:oMath>
      <w:r>
        <w:rPr>
          <w:lang w:eastAsia="en-GB"/>
        </w:rPr>
        <w:t>) e della componente a conguaglio relativa ai costi fissi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TF,a</m:t>
            </m:r>
          </m:sub>
        </m:sSub>
      </m:oMath>
      <w:r>
        <w:rPr>
          <w:lang w:eastAsia="en-GB"/>
        </w:rPr>
        <w:t>) ai sensi dell’art. 15 del MTR.</w:t>
      </w:r>
    </w:p>
    <w:p w14:paraId="56392151" w14:textId="77777777" w:rsidR="00C25BAD" w:rsidRPr="00424220" w:rsidRDefault="00C25BAD" w:rsidP="00C97FE5">
      <w:pPr>
        <w:pStyle w:val="Titolo3"/>
      </w:pPr>
      <w:bookmarkStart w:id="53" w:name="_Toc45528385"/>
      <w:r>
        <w:t>Costi efficienti di esercizio per la componente a conguaglio</w:t>
      </w:r>
      <w:bookmarkEnd w:id="53"/>
    </w:p>
    <w:p w14:paraId="68C0172F" w14:textId="77777777" w:rsidR="00C97FE5" w:rsidRDefault="00C97FE5" w:rsidP="00C97FE5">
      <w:pPr>
        <w:rPr>
          <w:rFonts w:asciiTheme="minorHAnsi" w:hAnsiTheme="minorHAnsi"/>
          <w:lang w:eastAsia="en-GB"/>
        </w:rPr>
      </w:pPr>
      <w:r>
        <w:rPr>
          <w:rFonts w:asciiTheme="minorHAnsi" w:hAnsiTheme="minorHAnsi"/>
          <w:lang w:eastAsia="en-GB"/>
        </w:rPr>
        <w:t xml:space="preserve">Così come indicato dall’art.15.1 del MTR, </w:t>
      </w:r>
      <w:r w:rsidRPr="00FF05E4">
        <w:rPr>
          <w:rFonts w:asciiTheme="minorHAnsi" w:hAnsiTheme="minorHAnsi"/>
          <w:i/>
          <w:iCs/>
          <w:lang w:eastAsia="en-GB"/>
        </w:rPr>
        <w:t>“i costi efficienti di esercizio e di investimento per l’anno 2018</w:t>
      </w:r>
      <w:r>
        <w:rPr>
          <w:rFonts w:asciiTheme="minorHAnsi" w:hAnsiTheme="minorHAnsi"/>
          <w:i/>
          <w:iCs/>
          <w:lang w:eastAsia="en-GB"/>
        </w:rPr>
        <w:t xml:space="preserve"> […]</w:t>
      </w:r>
      <w:r w:rsidRPr="00FF05E4">
        <w:rPr>
          <w:rFonts w:asciiTheme="minorHAnsi" w:hAnsiTheme="minorHAnsi"/>
          <w:i/>
          <w:iCs/>
          <w:lang w:eastAsia="en-GB"/>
        </w:rPr>
        <w:t xml:space="preserve"> per il servizio integrato di gestione dei RU sono determinati a partire da quelli effettivi rilevati nell’anno di riferimento, vale a dire l’anno 2017, come risultanti da fonti contabili obbligatorie sulla base di quanto stabilito ai commi 6.3 e 6.4”</w:t>
      </w:r>
      <w:r>
        <w:rPr>
          <w:rFonts w:asciiTheme="minorHAnsi" w:hAnsiTheme="minorHAnsi"/>
          <w:lang w:eastAsia="en-GB"/>
        </w:rPr>
        <w:t>.</w:t>
      </w:r>
    </w:p>
    <w:p w14:paraId="2C466275" w14:textId="77777777" w:rsidR="00C97FE5" w:rsidRDefault="00C97FE5" w:rsidP="00C97FE5">
      <w:pPr>
        <w:rPr>
          <w:rFonts w:asciiTheme="minorHAnsi" w:hAnsiTheme="minorHAnsi"/>
          <w:lang w:eastAsia="en-GB"/>
        </w:rPr>
      </w:pPr>
      <w:r>
        <w:rPr>
          <w:rFonts w:asciiTheme="minorHAnsi" w:hAnsiTheme="minorHAnsi"/>
          <w:lang w:eastAsia="en-GB"/>
        </w:rPr>
        <w:t>Il gestore, come illustrato nella propria Relazione di Accompagnamento, e il Comune, per quanto di propria competenza, partendo dalle fonti contabili obbligatorie relative al bilancio di esercizio 2017, hanno proceduto a:</w:t>
      </w:r>
    </w:p>
    <w:p w14:paraId="233BEA10" w14:textId="77777777" w:rsidR="00C97FE5" w:rsidRPr="00AA12F2" w:rsidRDefault="00C97FE5" w:rsidP="00C97FE5">
      <w:pPr>
        <w:pStyle w:val="Paragrafoelenco"/>
        <w:numPr>
          <w:ilvl w:val="0"/>
          <w:numId w:val="11"/>
        </w:numPr>
        <w:autoSpaceDE w:val="0"/>
        <w:autoSpaceDN w:val="0"/>
        <w:adjustRightInd w:val="0"/>
        <w:spacing w:after="18"/>
        <w:ind w:left="714" w:hanging="357"/>
        <w:contextualSpacing w:val="0"/>
        <w:jc w:val="both"/>
        <w:rPr>
          <w:rFonts w:asciiTheme="minorHAnsi" w:hAnsiTheme="minorHAnsi"/>
          <w:lang w:eastAsia="en-GB"/>
        </w:rPr>
      </w:pPr>
      <w:r w:rsidRPr="00AA12F2">
        <w:rPr>
          <w:rFonts w:asciiTheme="minorHAnsi" w:hAnsiTheme="minorHAnsi"/>
          <w:lang w:eastAsia="en-GB"/>
        </w:rPr>
        <w:t>rilevare i costi effettivi risultanti dalle fonti contabili obbligatorie relative all’anno 2017, riclassificati come prescritto (MTR, art. 6.4) ed aggiornati in base all’indice FOI nei termini indicati al comma 15.2, così da determinare i costi efficienti di esercizio e di investimento riconosciuti per gli anni 2018 e 2019</w:t>
      </w:r>
      <w:r>
        <w:rPr>
          <w:rFonts w:asciiTheme="minorHAnsi" w:hAnsiTheme="minorHAnsi"/>
          <w:lang w:eastAsia="en-GB"/>
        </w:rPr>
        <w:t>;</w:t>
      </w:r>
    </w:p>
    <w:p w14:paraId="4C8F2D32" w14:textId="77777777" w:rsidR="00C97FE5" w:rsidRPr="00AA12F2" w:rsidRDefault="00C97FE5" w:rsidP="00C97FE5">
      <w:pPr>
        <w:pStyle w:val="Paragrafoelenco"/>
        <w:numPr>
          <w:ilvl w:val="0"/>
          <w:numId w:val="11"/>
        </w:numPr>
        <w:autoSpaceDE w:val="0"/>
        <w:autoSpaceDN w:val="0"/>
        <w:adjustRightInd w:val="0"/>
        <w:spacing w:before="0" w:after="18"/>
        <w:jc w:val="both"/>
        <w:rPr>
          <w:rFonts w:asciiTheme="minorHAnsi" w:hAnsiTheme="minorHAnsi"/>
          <w:lang w:eastAsia="en-GB"/>
        </w:rPr>
      </w:pPr>
      <w:r w:rsidRPr="00AA12F2">
        <w:rPr>
          <w:rFonts w:asciiTheme="minorHAnsi" w:hAnsiTheme="minorHAnsi"/>
          <w:lang w:eastAsia="en-GB"/>
        </w:rPr>
        <w:t xml:space="preserve">calcolare, a partire dai valori di cui al punto precedente, le entrate relative alle componenti di costo variabile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e le componenti di costo fisso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 come ridefinite sulla base del MTR rispettivamente ai commi 15.4 e 15.6, che a loro volta richiamano ampie parti dell’art. 7</w:t>
      </w:r>
      <w:r>
        <w:rPr>
          <w:rFonts w:asciiTheme="minorHAnsi" w:hAnsiTheme="minorHAnsi"/>
          <w:lang w:eastAsia="en-GB"/>
        </w:rPr>
        <w:t>;</w:t>
      </w:r>
    </w:p>
    <w:p w14:paraId="2BC5B8A6" w14:textId="77777777" w:rsidR="00C97FE5" w:rsidRDefault="00C97FE5" w:rsidP="00C97FE5">
      <w:pPr>
        <w:pStyle w:val="Paragrafoelenco"/>
        <w:numPr>
          <w:ilvl w:val="0"/>
          <w:numId w:val="11"/>
        </w:numPr>
        <w:autoSpaceDE w:val="0"/>
        <w:autoSpaceDN w:val="0"/>
        <w:adjustRightInd w:val="0"/>
        <w:spacing w:before="0"/>
        <w:jc w:val="both"/>
        <w:rPr>
          <w:rFonts w:asciiTheme="minorHAnsi" w:hAnsiTheme="minorHAnsi"/>
          <w:lang w:eastAsia="en-GB"/>
        </w:rPr>
      </w:pPr>
      <w:r w:rsidRPr="0028162E">
        <w:rPr>
          <w:rFonts w:asciiTheme="minorHAnsi" w:hAnsiTheme="minorHAnsi"/>
          <w:lang w:eastAsia="en-GB"/>
        </w:rPr>
        <w:t xml:space="preserve">calcolare le rispettive componenti a conguaglio, variabile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 a</m:t>
            </m:r>
          </m:sub>
        </m:sSub>
      </m:oMath>
      <w:r w:rsidRPr="0028162E">
        <w:rPr>
          <w:rFonts w:asciiTheme="minorHAnsi" w:hAnsiTheme="minorHAnsi"/>
          <w:lang w:eastAsia="en-GB"/>
        </w:rPr>
        <w:t xml:space="preserve">e fissa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 a</m:t>
            </m:r>
          </m:sub>
        </m:sSub>
      </m:oMath>
      <w:r w:rsidRPr="0028162E">
        <w:rPr>
          <w:rFonts w:asciiTheme="minorHAnsi" w:hAnsiTheme="minorHAnsi"/>
          <w:lang w:eastAsia="en-GB"/>
        </w:rPr>
        <w:t xml:space="preserve"> ciascuna ottenuta sottraendo alle componenti di cui al punto precedente le corrispondenti entrate tariffarie computate per l’anno (a-2)</w:t>
      </w:r>
      <w:r>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oMath>
      <w:r>
        <w:rPr>
          <w:rFonts w:asciiTheme="minorHAnsi" w:hAnsiTheme="minorHAnsi"/>
          <w:lang w:eastAsia="en-GB"/>
        </w:rPr>
        <w:t>.</w:t>
      </w:r>
    </w:p>
    <w:p w14:paraId="5B4977D8"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Di conseguenza è stata definita la componente a conguaglio, come rappresentata nel PEF allegato, da sottoporre a coefficiente di gradualità</w:t>
      </w:r>
      <w:r>
        <w:rPr>
          <w:rFonts w:asciiTheme="minorHAnsi" w:hAnsiTheme="minorHAnsi"/>
        </w:rPr>
        <w:t>.</w:t>
      </w:r>
    </w:p>
    <w:p w14:paraId="2C877482" w14:textId="77777777" w:rsidR="00C2229B" w:rsidRDefault="00C2229B" w:rsidP="0028162E">
      <w:pPr>
        <w:autoSpaceDE w:val="0"/>
        <w:autoSpaceDN w:val="0"/>
        <w:adjustRightInd w:val="0"/>
        <w:spacing w:before="0"/>
        <w:rPr>
          <w:rFonts w:asciiTheme="minorHAnsi" w:hAnsiTheme="minorHAnsi"/>
          <w:lang w:eastAsia="en-GB"/>
        </w:rPr>
      </w:pPr>
    </w:p>
    <w:p w14:paraId="638D6D4D" w14:textId="77777777" w:rsidR="00086AB8" w:rsidRDefault="00086AB8" w:rsidP="00086AB8">
      <w:pPr>
        <w:autoSpaceDE w:val="0"/>
        <w:autoSpaceDN w:val="0"/>
        <w:adjustRightInd w:val="0"/>
        <w:spacing w:before="0"/>
        <w:rPr>
          <w:rFonts w:asciiTheme="minorHAnsi" w:hAnsiTheme="minorHAnsi"/>
          <w:lang w:eastAsia="en-GB"/>
        </w:rPr>
      </w:pPr>
    </w:p>
    <w:p w14:paraId="43A70727" w14:textId="77777777" w:rsidR="00C97FE5" w:rsidRPr="00424220" w:rsidRDefault="00C97FE5" w:rsidP="00C97FE5">
      <w:pPr>
        <w:pStyle w:val="Titolo3"/>
      </w:pPr>
      <w:bookmarkStart w:id="54" w:name="_Toc43722733"/>
      <w:bookmarkStart w:id="55" w:name="_Toc45528386"/>
      <w:r>
        <w:t>Valorizzazione dei coefficienti di gradualità</w:t>
      </w:r>
      <w:bookmarkEnd w:id="54"/>
      <w:bookmarkEnd w:id="55"/>
    </w:p>
    <w:p w14:paraId="79CA3762"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In merito alla valorizzazione dei coefficienti </w:t>
      </w: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Pr="0034669D">
        <w:rPr>
          <w:rFonts w:asciiTheme="minorHAnsi" w:hAnsiTheme="minorHAnsi"/>
          <w:lang w:eastAsia="en-GB"/>
        </w:rPr>
        <w:t xml:space="preserve"> di cui all’art. 16 del MTR per la quantificazione del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si ricorda che:</w:t>
      </w:r>
    </w:p>
    <w:p w14:paraId="5DBBB119" w14:textId="77777777" w:rsidR="00C97FE5" w:rsidRDefault="00324C18" w:rsidP="00C97FE5">
      <w:pPr>
        <w:pStyle w:val="Paragrafoelenco"/>
        <w:numPr>
          <w:ilvl w:val="0"/>
          <w:numId w:val="12"/>
        </w:numPr>
        <w:autoSpaceDE w:val="0"/>
        <w:autoSpaceDN w:val="0"/>
        <w:adjustRightInd w:val="0"/>
        <w:spacing w:after="0"/>
        <w:ind w:left="714" w:hanging="357"/>
        <w:contextualSpacing w:val="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sidR="00C97FE5">
        <w:rPr>
          <w:rFonts w:asciiTheme="minorHAnsi" w:hAnsiTheme="minorHAnsi"/>
          <w:lang w:eastAsia="en-GB"/>
        </w:rPr>
        <w:t xml:space="preserve"> deve essere valorizzato tenendo conto della valutazione del rispetto degli obiettivi di raccolta differenziata da raggiungere;</w:t>
      </w:r>
    </w:p>
    <w:p w14:paraId="0485E7B9" w14:textId="77777777" w:rsidR="00C97FE5" w:rsidRDefault="00324C18"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sidR="00C97FE5">
        <w:rPr>
          <w:rFonts w:asciiTheme="minorHAnsi" w:hAnsiTheme="minorHAnsi"/>
          <w:lang w:eastAsia="en-GB"/>
        </w:rPr>
        <w:t xml:space="preserve"> deve essere quantificato considerando l’efficacia delle attività di preparazione per il riutilizzo e il riciclo;</w:t>
      </w:r>
    </w:p>
    <w:p w14:paraId="20175D4E" w14:textId="77777777" w:rsidR="00C97FE5" w:rsidRDefault="00324C18"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00C97FE5">
        <w:rPr>
          <w:rFonts w:asciiTheme="minorHAnsi" w:hAnsiTheme="minorHAnsi"/>
          <w:lang w:eastAsia="en-GB"/>
        </w:rPr>
        <w:t xml:space="preserve"> deve essere determinato sulla base delle risultanze di indagini di soddisfazione degli utenti del servizio, svolto in modo indipendente, o con riferimento al grado di rispetto della Carta dei servizi.</w:t>
      </w:r>
    </w:p>
    <w:p w14:paraId="3B633C8C" w14:textId="77777777" w:rsidR="00C97FE5" w:rsidRPr="00834FEF" w:rsidRDefault="00C97FE5" w:rsidP="00C97FE5">
      <w:pPr>
        <w:rPr>
          <w:rFonts w:asciiTheme="minorHAnsi" w:hAnsiTheme="minorHAnsi"/>
        </w:rPr>
      </w:pPr>
      <w:r>
        <w:rPr>
          <w:rFonts w:asciiTheme="minorHAnsi" w:hAnsiTheme="minorHAnsi"/>
        </w:rPr>
        <w:t xml:space="preserve">Così come indicato dall’art. 16.4 del MTR, </w:t>
      </w:r>
      <w:r w:rsidRPr="00834FEF">
        <w:rPr>
          <w:rFonts w:asciiTheme="minorHAnsi" w:hAnsiTheme="minorHAnsi"/>
          <w:i/>
          <w:iCs/>
        </w:rPr>
        <w:t xml:space="preserve">“il coefficiente di gradualità </w:t>
      </w:r>
      <m:oMath>
        <m:d>
          <m:dPr>
            <m:ctrlPr>
              <w:rPr>
                <w:rFonts w:ascii="Cambria Math" w:hAnsi="Cambria Math"/>
                <w:i/>
                <w:iCs/>
              </w:rPr>
            </m:ctrlPr>
          </m:dPr>
          <m:e>
            <m:r>
              <w:rPr>
                <w:rFonts w:ascii="Cambria Math" w:hAnsi="Cambria Math"/>
              </w:rPr>
              <m:t>1+</m:t>
            </m:r>
            <m:sSub>
              <m:sSubPr>
                <m:ctrlPr>
                  <w:rPr>
                    <w:rFonts w:ascii="Cambria Math" w:hAnsi="Cambria Math"/>
                    <w:i/>
                    <w:iCs/>
                  </w:rPr>
                </m:ctrlPr>
              </m:sSubPr>
              <m:e>
                <m:r>
                  <w:rPr>
                    <w:rFonts w:ascii="Cambria Math" w:hAnsi="Cambria Math"/>
                  </w:rPr>
                  <m:t>γ</m:t>
                </m:r>
              </m:e>
              <m:sub>
                <m:r>
                  <w:rPr>
                    <w:rFonts w:ascii="Cambria Math" w:hAnsi="Cambria Math"/>
                  </w:rPr>
                  <m:t>a</m:t>
                </m:r>
              </m:sub>
            </m:sSub>
          </m:e>
        </m:d>
      </m:oMath>
      <w:r w:rsidRPr="00834FEF">
        <w:rPr>
          <w:rFonts w:asciiTheme="minorHAnsi" w:hAnsiTheme="minorHAnsi"/>
          <w:i/>
          <w:iCs/>
        </w:rPr>
        <w:t xml:space="preserve"> è calcolato sulla base del confronto tra costo unitario effettivo e il Benchmark di riferimento […]”.</w:t>
      </w:r>
    </w:p>
    <w:p w14:paraId="69169E13" w14:textId="77777777" w:rsidR="00C97FE5" w:rsidRDefault="00C97FE5" w:rsidP="00C97FE5">
      <w:pPr>
        <w:rPr>
          <w:rFonts w:asciiTheme="minorHAnsi" w:hAnsiTheme="minorHAnsi"/>
        </w:rPr>
      </w:pPr>
      <w:r w:rsidRPr="00834FEF">
        <w:rPr>
          <w:rFonts w:asciiTheme="minorHAnsi" w:hAnsiTheme="minorHAnsi"/>
        </w:rPr>
        <w:t xml:space="preserve">Sulla base di questo rapporto e del valore, positivo o negativo, della componente a conguaglio </w:t>
      </w:r>
      <w:r>
        <w:rPr>
          <w:rFonts w:asciiTheme="minorHAnsi" w:hAnsiTheme="minorHAnsi"/>
        </w:rPr>
        <w:t>devono essere</w:t>
      </w:r>
      <w:r w:rsidRPr="00834FEF">
        <w:rPr>
          <w:rFonts w:asciiTheme="minorHAnsi" w:hAnsiTheme="minorHAnsi"/>
        </w:rPr>
        <w:t xml:space="preserve"> individuati gli intervalli di valori tra i quali l’ente </w:t>
      </w:r>
      <w:r>
        <w:rPr>
          <w:rFonts w:asciiTheme="minorHAnsi" w:hAnsiTheme="minorHAnsi"/>
        </w:rPr>
        <w:t>deve</w:t>
      </w:r>
      <w:r w:rsidRPr="00834FEF">
        <w:rPr>
          <w:rFonts w:asciiTheme="minorHAnsi" w:hAnsiTheme="minorHAnsi"/>
        </w:rPr>
        <w:t xml:space="preserve"> determinare i coefficienti </w:t>
      </w:r>
      <w:r>
        <w:rPr>
          <w:rFonts w:asciiTheme="minorHAnsi" w:hAnsiTheme="minorHAnsi"/>
        </w:rPr>
        <w:t xml:space="preserve"> </w:t>
      </w:r>
      <m:oMath>
        <m:sSub>
          <m:sSubPr>
            <m:ctrlPr>
              <w:rPr>
                <w:rFonts w:ascii="Cambria Math" w:hAnsi="Cambria Math"/>
              </w:rPr>
            </m:ctrlPr>
          </m:sSubPr>
          <m:e>
            <m:r>
              <m:rPr>
                <m:sty m:val="p"/>
              </m:rPr>
              <w:rPr>
                <w:rFonts w:ascii="Cambria Math" w:hAnsi="Cambria Math"/>
              </w:rPr>
              <m:t>γ</m:t>
            </m:r>
          </m:e>
          <m:sub>
            <m:r>
              <m:rPr>
                <m:sty m:val="p"/>
              </m:rPr>
              <w:rPr>
                <w:rFonts w:ascii="Cambria Math" w:hAnsi="Cambria Math"/>
              </w:rPr>
              <m:t>1,</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2.</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3.</m:t>
            </m:r>
            <m:r>
              <w:rPr>
                <w:rFonts w:ascii="Cambria Math" w:hAnsi="Cambria Math"/>
              </w:rPr>
              <m:t>a</m:t>
            </m:r>
          </m:sub>
        </m:sSub>
      </m:oMath>
      <w:r>
        <w:rPr>
          <w:rFonts w:asciiTheme="minorHAnsi" w:hAnsiTheme="minorHAnsi"/>
        </w:rPr>
        <w:t>, così come riportato nelle tabelle agli articoli 16.5 e 16.6 del MTR.</w:t>
      </w:r>
    </w:p>
    <w:p w14:paraId="23BB293A" w14:textId="77777777" w:rsidR="00C97FE5" w:rsidRDefault="00C97FE5" w:rsidP="00CB19B5">
      <w:pPr>
        <w:rPr>
          <w:rFonts w:asciiTheme="minorHAnsi" w:hAnsiTheme="minorHAnsi"/>
        </w:rPr>
      </w:pPr>
      <w:r>
        <w:rPr>
          <w:rFonts w:asciiTheme="minorHAnsi" w:hAnsiTheme="minorHAnsi"/>
        </w:rPr>
        <w:t>Il costo unitario effettivo, calcolato dividendo il totale delle entrate tariffarie computate per l’anno 2018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r>
          <w:rPr>
            <w:rFonts w:ascii="Cambria Math" w:hAnsi="Cambria Math"/>
            <w:lang w:eastAsia="en-GB"/>
          </w:rPr>
          <m:t>)</m:t>
        </m:r>
      </m:oMath>
      <w:r>
        <w:rPr>
          <w:rFonts w:asciiTheme="minorHAnsi" w:hAnsiTheme="minorHAnsi"/>
        </w:rPr>
        <w:t xml:space="preserve"> per le quantità di RU complessivamente prodotte nel medesimo anno, è rappresentato nel PEF allegato alla presente relazione. </w:t>
      </w:r>
    </w:p>
    <w:p w14:paraId="5E29663E" w14:textId="77777777" w:rsidR="00C97FE5" w:rsidRDefault="00C97FE5" w:rsidP="00CB19B5">
      <w:pPr>
        <w:rPr>
          <w:rFonts w:asciiTheme="minorHAnsi" w:hAnsiTheme="minorHAnsi"/>
        </w:rPr>
      </w:pPr>
      <w:r>
        <w:rPr>
          <w:rFonts w:asciiTheme="minorHAnsi" w:hAnsiTheme="minorHAnsi"/>
        </w:rPr>
        <w:t xml:space="preserve">Il </w:t>
      </w:r>
      <w:r>
        <w:rPr>
          <w:rFonts w:asciiTheme="minorHAnsi" w:hAnsiTheme="minorHAnsi"/>
          <w:i/>
          <w:iCs/>
        </w:rPr>
        <w:t xml:space="preserve">Benchmark </w:t>
      </w:r>
      <w:r>
        <w:rPr>
          <w:rFonts w:asciiTheme="minorHAnsi" w:hAnsiTheme="minorHAnsi"/>
        </w:rPr>
        <w:t xml:space="preserve">di riferimento è determinato secondo quanto previsto dall’art. 16.4 della </w:t>
      </w:r>
      <w:r w:rsidRPr="003201F0">
        <w:rPr>
          <w:rFonts w:asciiTheme="minorHAnsi" w:hAnsiTheme="minorHAnsi"/>
        </w:rPr>
        <w:t>443/2019/R/</w:t>
      </w:r>
      <w:r w:rsidRPr="003201F0">
        <w:rPr>
          <w:rFonts w:asciiTheme="minorHAnsi" w:hAnsiTheme="minorHAnsi"/>
          <w:smallCaps/>
        </w:rPr>
        <w:t>rif</w:t>
      </w:r>
      <w:r>
        <w:rPr>
          <w:rFonts w:asciiTheme="minorHAnsi" w:hAnsiTheme="minorHAnsi"/>
          <w:smallCaps/>
        </w:rPr>
        <w:t>,</w:t>
      </w:r>
      <w:r w:rsidRPr="00834FEF">
        <w:rPr>
          <w:rFonts w:asciiTheme="minorHAnsi" w:hAnsiTheme="minorHAnsi"/>
        </w:rPr>
        <w:t xml:space="preserve"> </w:t>
      </w:r>
      <w:r>
        <w:rPr>
          <w:rFonts w:asciiTheme="minorHAnsi" w:hAnsiTheme="minorHAnsi"/>
        </w:rPr>
        <w:t>ovvero:</w:t>
      </w:r>
    </w:p>
    <w:p w14:paraId="75443FFF" w14:textId="77777777" w:rsidR="00C97FE5" w:rsidRPr="00CB19B5" w:rsidRDefault="00C97FE5" w:rsidP="00CB19B5">
      <w:pPr>
        <w:pStyle w:val="Paragrafoelenco"/>
        <w:numPr>
          <w:ilvl w:val="0"/>
          <w:numId w:val="13"/>
        </w:numPr>
        <w:jc w:val="both"/>
        <w:rPr>
          <w:rFonts w:asciiTheme="minorHAnsi" w:hAnsiTheme="minorHAnsi"/>
          <w:szCs w:val="24"/>
        </w:rPr>
      </w:pPr>
      <w:r w:rsidRPr="00CB19B5">
        <w:rPr>
          <w:rFonts w:asciiTheme="minorHAnsi" w:hAnsiTheme="minorHAnsi"/>
          <w:szCs w:val="24"/>
        </w:rPr>
        <w:t>nel caso di PEF per singolo comune:</w:t>
      </w:r>
    </w:p>
    <w:p w14:paraId="565813EB" w14:textId="77777777" w:rsidR="00C97FE5" w:rsidRPr="00CB19B5" w:rsidRDefault="00C97FE5" w:rsidP="00CB19B5">
      <w:pPr>
        <w:pStyle w:val="Paragrafoelenco"/>
        <w:numPr>
          <w:ilvl w:val="0"/>
          <w:numId w:val="14"/>
        </w:numPr>
        <w:jc w:val="both"/>
        <w:rPr>
          <w:rFonts w:asciiTheme="minorHAnsi" w:hAnsiTheme="minorHAnsi"/>
          <w:szCs w:val="24"/>
        </w:rPr>
      </w:pPr>
      <w:r w:rsidRPr="00CB19B5">
        <w:rPr>
          <w:rFonts w:asciiTheme="minorHAnsi" w:hAnsiTheme="minorHAnsi"/>
          <w:szCs w:val="24"/>
        </w:rPr>
        <w:lastRenderedPageBreak/>
        <w:t>fabbisogno standard di cui all’articolo 1, comma 653, della legge n.147/2013, per le Regioni a Statuto ordinario;</w:t>
      </w:r>
    </w:p>
    <w:p w14:paraId="0C0108FF" w14:textId="77777777" w:rsidR="00C97FE5" w:rsidRDefault="00C97FE5" w:rsidP="00CB19B5">
      <w:pPr>
        <w:rPr>
          <w:rFonts w:asciiTheme="minorHAnsi" w:hAnsiTheme="minorHAnsi"/>
        </w:rPr>
      </w:pPr>
      <w:r>
        <w:rPr>
          <w:rFonts w:asciiTheme="minorHAnsi" w:hAnsiTheme="minorHAnsi"/>
        </w:rPr>
        <w:t xml:space="preserve">Alla luce di quanto sopra evidenziato il </w:t>
      </w:r>
      <w:r>
        <w:rPr>
          <w:rFonts w:asciiTheme="minorHAnsi" w:hAnsiTheme="minorHAnsi"/>
          <w:i/>
          <w:iCs/>
        </w:rPr>
        <w:t>Benchmark</w:t>
      </w:r>
      <w:r>
        <w:t xml:space="preserve"> calcolato per l’anno di riferimento </w:t>
      </w:r>
      <w:r>
        <w:rPr>
          <w:rFonts w:asciiTheme="minorHAnsi" w:hAnsiTheme="minorHAnsi"/>
        </w:rPr>
        <w:t>è rappresentato nel PEF allegato alla presente relazione.</w:t>
      </w:r>
    </w:p>
    <w:p w14:paraId="1EC2E453" w14:textId="77777777" w:rsidR="00A0009F" w:rsidRDefault="00C97FE5" w:rsidP="00C97FE5">
      <w:r>
        <w:t xml:space="preserve">Il rapporto tra il costo unitario effettivo </w:t>
      </w:r>
      <m:oMath>
        <m:sSub>
          <m:sSubPr>
            <m:ctrlPr>
              <w:rPr>
                <w:rFonts w:ascii="Cambria Math" w:hAnsi="Cambria Math"/>
                <w:i/>
              </w:rPr>
            </m:ctrlPr>
          </m:sSubPr>
          <m:e>
            <m:r>
              <w:rPr>
                <w:rFonts w:ascii="Cambria Math" w:hAnsi="Cambria Math"/>
              </w:rPr>
              <m:t>CUeff</m:t>
            </m:r>
          </m:e>
          <m:sub>
            <m:r>
              <w:rPr>
                <w:rFonts w:ascii="Cambria Math" w:hAnsi="Cambria Math"/>
              </w:rPr>
              <m:t>a-2</m:t>
            </m:r>
          </m:sub>
        </m:sSub>
      </m:oMath>
      <w:r w:rsidR="003750ED">
        <w:t xml:space="preserve"> e il Benchmark evidenzia che</w:t>
      </w:r>
      <w:r w:rsidR="00A74D97">
        <w:t>:</w:t>
      </w:r>
    </w:p>
    <w:p w14:paraId="35BDF4C8" w14:textId="77777777" w:rsidR="003750ED" w:rsidRDefault="003750ED" w:rsidP="00C97FE5"/>
    <w:tbl>
      <w:tblPr>
        <w:tblStyle w:val="Tabellagriglia1chiara-colore110"/>
        <w:tblW w:w="9639" w:type="dxa"/>
        <w:tblInd w:w="108" w:type="dxa"/>
        <w:tblLayout w:type="fixed"/>
        <w:tblLook w:val="04A0" w:firstRow="1" w:lastRow="0" w:firstColumn="1" w:lastColumn="0" w:noHBand="0" w:noVBand="1"/>
      </w:tblPr>
      <w:tblGrid>
        <w:gridCol w:w="2977"/>
        <w:gridCol w:w="3331"/>
        <w:gridCol w:w="3331"/>
      </w:tblGrid>
      <w:tr w:rsidR="00A0009F" w:rsidRPr="00102D1A" w14:paraId="4FCD481E" w14:textId="77777777" w:rsidTr="00A74D97">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53647213" w14:textId="77777777" w:rsidR="00A0009F" w:rsidRPr="004B55F8" w:rsidRDefault="00A0009F" w:rsidP="00102D1A">
            <w:pPr>
              <w:jc w:val="center"/>
              <w:rPr>
                <w:rFonts w:asciiTheme="minorHAnsi" w:hAnsiTheme="minorHAnsi"/>
                <w:bCs w:val="0"/>
                <w:szCs w:val="20"/>
              </w:rPr>
            </w:pPr>
            <w:r w:rsidRPr="004B55F8">
              <w:rPr>
                <w:rFonts w:asciiTheme="minorHAnsi" w:hAnsiTheme="minorHAnsi"/>
                <w:bCs w:val="0"/>
                <w:szCs w:val="20"/>
              </w:rPr>
              <w:t>COMUNI</w:t>
            </w:r>
          </w:p>
        </w:tc>
        <w:tc>
          <w:tcPr>
            <w:tcW w:w="3331" w:type="dxa"/>
            <w:noWrap/>
            <w:vAlign w:val="center"/>
            <w:hideMark/>
          </w:tcPr>
          <w:p w14:paraId="4F791F70" w14:textId="77777777" w:rsidR="00A0009F" w:rsidRPr="004B55F8" w:rsidRDefault="003750ED" w:rsidP="00102D1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highlight w:val="yellow"/>
              </w:rPr>
            </w:pPr>
            <w:r w:rsidRPr="004B55F8">
              <w:rPr>
                <w:rFonts w:asciiTheme="minorHAnsi" w:hAnsiTheme="minorHAnsi"/>
                <w:bCs w:val="0"/>
                <w:szCs w:val="20"/>
              </w:rPr>
              <w:t>RC</w:t>
            </w:r>
          </w:p>
        </w:tc>
        <w:tc>
          <w:tcPr>
            <w:tcW w:w="3331" w:type="dxa"/>
            <w:noWrap/>
            <w:vAlign w:val="center"/>
            <w:hideMark/>
          </w:tcPr>
          <w:p w14:paraId="74B7F209" w14:textId="77777777" w:rsidR="00A0009F" w:rsidRPr="004B55F8" w:rsidRDefault="00324C18" w:rsidP="003750ED">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Cs w:val="20"/>
                <w:highlight w:val="yellow"/>
              </w:rPr>
            </w:pPr>
            <m:oMathPara>
              <m:oMathParaPr>
                <m:jc m:val="center"/>
              </m:oMathParaPr>
              <m:oMath>
                <m:sSub>
                  <m:sSubPr>
                    <m:ctrlPr>
                      <w:rPr>
                        <w:rFonts w:ascii="Cambria Math" w:hAnsi="Cambria Math"/>
                        <w:b w:val="0"/>
                        <w:i/>
                        <w:szCs w:val="20"/>
                      </w:rPr>
                    </m:ctrlPr>
                  </m:sSubPr>
                  <m:e>
                    <m:r>
                      <m:rPr>
                        <m:sty m:val="bi"/>
                      </m:rPr>
                      <w:rPr>
                        <w:rFonts w:ascii="Cambria Math" w:hAnsi="Cambria Math"/>
                        <w:szCs w:val="20"/>
                      </w:rPr>
                      <m:t xml:space="preserve"> CUeff</m:t>
                    </m:r>
                  </m:e>
                  <m:sub>
                    <m:r>
                      <m:rPr>
                        <m:sty m:val="bi"/>
                      </m:rPr>
                      <w:rPr>
                        <w:rFonts w:ascii="Cambria Math" w:hAnsi="Cambria Math"/>
                        <w:szCs w:val="20"/>
                      </w:rPr>
                      <m:t>a-2</m:t>
                    </m:r>
                  </m:sub>
                </m:sSub>
                <m:r>
                  <m:rPr>
                    <m:sty m:val="bi"/>
                  </m:rPr>
                  <w:rPr>
                    <w:rFonts w:ascii="Cambria Math" w:hAnsi="Cambria Math"/>
                    <w:szCs w:val="20"/>
                  </w:rPr>
                  <m:t xml:space="preserve"> / Benchmark</m:t>
                </m:r>
              </m:oMath>
            </m:oMathPara>
          </w:p>
        </w:tc>
      </w:tr>
      <w:tr w:rsidR="007B2E8C" w:rsidRPr="00A0009F" w14:paraId="7EEE8CA3"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115482B0"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Acceglio </w:t>
            </w:r>
          </w:p>
        </w:tc>
        <w:tc>
          <w:tcPr>
            <w:tcW w:w="3331" w:type="dxa"/>
            <w:noWrap/>
            <w:vAlign w:val="bottom"/>
            <w:hideMark/>
          </w:tcPr>
          <w:p w14:paraId="722660F7"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4562EB6D"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7FDE4B0F"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20963377"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Canosio </w:t>
            </w:r>
          </w:p>
        </w:tc>
        <w:tc>
          <w:tcPr>
            <w:tcW w:w="3331" w:type="dxa"/>
            <w:noWrap/>
            <w:vAlign w:val="bottom"/>
            <w:hideMark/>
          </w:tcPr>
          <w:p w14:paraId="3D41259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074BBEAB"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4CA4CE06"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0DF26D59"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Cartignano </w:t>
            </w:r>
          </w:p>
        </w:tc>
        <w:tc>
          <w:tcPr>
            <w:tcW w:w="3331" w:type="dxa"/>
            <w:noWrap/>
            <w:vAlign w:val="bottom"/>
            <w:hideMark/>
          </w:tcPr>
          <w:p w14:paraId="28599C37"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10CABC41"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2B4510DF"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69808FCC"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Castelmagno </w:t>
            </w:r>
          </w:p>
        </w:tc>
        <w:tc>
          <w:tcPr>
            <w:tcW w:w="3331" w:type="dxa"/>
            <w:noWrap/>
            <w:vAlign w:val="bottom"/>
            <w:hideMark/>
          </w:tcPr>
          <w:p w14:paraId="04197A3A"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6072B2DF"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2932F633"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13A4F828"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Celle di Macra </w:t>
            </w:r>
          </w:p>
        </w:tc>
        <w:tc>
          <w:tcPr>
            <w:tcW w:w="3331" w:type="dxa"/>
            <w:noWrap/>
            <w:vAlign w:val="bottom"/>
            <w:hideMark/>
          </w:tcPr>
          <w:p w14:paraId="3AD0D26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782471E9"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75C2C404"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231BD46D"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Elva </w:t>
            </w:r>
          </w:p>
        </w:tc>
        <w:tc>
          <w:tcPr>
            <w:tcW w:w="3331" w:type="dxa"/>
            <w:noWrap/>
            <w:vAlign w:val="bottom"/>
            <w:hideMark/>
          </w:tcPr>
          <w:p w14:paraId="7DB1218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RC&lt;0 </w:t>
            </w:r>
          </w:p>
        </w:tc>
        <w:tc>
          <w:tcPr>
            <w:tcW w:w="3331" w:type="dxa"/>
            <w:noWrap/>
            <w:vAlign w:val="bottom"/>
            <w:hideMark/>
          </w:tcPr>
          <w:p w14:paraId="0F60204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5FEA5491"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4BE6BC32"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Macra </w:t>
            </w:r>
          </w:p>
        </w:tc>
        <w:tc>
          <w:tcPr>
            <w:tcW w:w="3331" w:type="dxa"/>
            <w:noWrap/>
            <w:vAlign w:val="bottom"/>
            <w:hideMark/>
          </w:tcPr>
          <w:p w14:paraId="6DCEB5FC"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2E286D00"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3B7CB027"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BBB2807"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Marmora </w:t>
            </w:r>
          </w:p>
        </w:tc>
        <w:tc>
          <w:tcPr>
            <w:tcW w:w="3331" w:type="dxa"/>
            <w:noWrap/>
            <w:vAlign w:val="bottom"/>
            <w:hideMark/>
          </w:tcPr>
          <w:p w14:paraId="15FB56DB"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663FDFE1"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1486BF52"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397E93D9"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Montemale di Cuneo </w:t>
            </w:r>
          </w:p>
        </w:tc>
        <w:tc>
          <w:tcPr>
            <w:tcW w:w="3331" w:type="dxa"/>
            <w:noWrap/>
            <w:vAlign w:val="bottom"/>
            <w:hideMark/>
          </w:tcPr>
          <w:p w14:paraId="47FAB0D7"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775F0D1B"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110BBB4F"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10665FAB" w14:textId="77777777" w:rsidR="007B2E8C" w:rsidRPr="004B55F8" w:rsidRDefault="007B2E8C" w:rsidP="007B2E8C">
            <w:pPr>
              <w:jc w:val="center"/>
              <w:rPr>
                <w:rFonts w:asciiTheme="minorHAnsi" w:hAnsiTheme="minorHAnsi"/>
                <w:b w:val="0"/>
                <w:szCs w:val="20"/>
              </w:rPr>
            </w:pPr>
            <w:r w:rsidRPr="004B55F8">
              <w:rPr>
                <w:rFonts w:asciiTheme="minorHAnsi" w:hAnsiTheme="minorHAnsi" w:cs="Calibri"/>
                <w:b w:val="0"/>
                <w:color w:val="000000"/>
                <w:szCs w:val="20"/>
              </w:rPr>
              <w:t xml:space="preserve"> Monterosso Grana </w:t>
            </w:r>
          </w:p>
        </w:tc>
        <w:tc>
          <w:tcPr>
            <w:tcW w:w="3331" w:type="dxa"/>
            <w:noWrap/>
            <w:vAlign w:val="bottom"/>
            <w:hideMark/>
          </w:tcPr>
          <w:p w14:paraId="4270E369"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RC&gt;0 </w:t>
            </w:r>
          </w:p>
        </w:tc>
        <w:tc>
          <w:tcPr>
            <w:tcW w:w="3331" w:type="dxa"/>
            <w:noWrap/>
            <w:vAlign w:val="bottom"/>
            <w:hideMark/>
          </w:tcPr>
          <w:p w14:paraId="7FD10723"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4B55F8">
              <w:rPr>
                <w:rFonts w:asciiTheme="minorHAnsi" w:hAnsiTheme="minorHAnsi" w:cs="Calibri"/>
                <w:color w:val="000000"/>
                <w:szCs w:val="20"/>
              </w:rPr>
              <w:t xml:space="preserve"> Ceff18&lt;Bench18 </w:t>
            </w:r>
          </w:p>
        </w:tc>
      </w:tr>
      <w:tr w:rsidR="007B2E8C" w:rsidRPr="00A0009F" w14:paraId="778DA799"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tcPr>
          <w:p w14:paraId="0A1D8744" w14:textId="77777777" w:rsidR="007B2E8C" w:rsidRPr="004B55F8" w:rsidRDefault="007B2E8C" w:rsidP="007B2E8C">
            <w:pPr>
              <w:jc w:val="center"/>
              <w:rPr>
                <w:rFonts w:asciiTheme="minorHAnsi" w:hAnsiTheme="minorHAnsi" w:cs="Calibri"/>
                <w:b w:val="0"/>
                <w:color w:val="000000"/>
                <w:szCs w:val="20"/>
              </w:rPr>
            </w:pPr>
            <w:r w:rsidRPr="004B55F8">
              <w:rPr>
                <w:rFonts w:asciiTheme="minorHAnsi" w:hAnsiTheme="minorHAnsi" w:cs="Calibri"/>
                <w:b w:val="0"/>
                <w:color w:val="000000"/>
                <w:szCs w:val="20"/>
              </w:rPr>
              <w:t xml:space="preserve"> Pradleves </w:t>
            </w:r>
          </w:p>
        </w:tc>
        <w:tc>
          <w:tcPr>
            <w:tcW w:w="3331" w:type="dxa"/>
            <w:noWrap/>
            <w:vAlign w:val="bottom"/>
          </w:tcPr>
          <w:p w14:paraId="29DAECB5"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RC&lt;0 </w:t>
            </w:r>
          </w:p>
        </w:tc>
        <w:tc>
          <w:tcPr>
            <w:tcW w:w="3331" w:type="dxa"/>
            <w:noWrap/>
            <w:vAlign w:val="bottom"/>
          </w:tcPr>
          <w:p w14:paraId="4EB7ADA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Ceff18&lt;Bench18 </w:t>
            </w:r>
          </w:p>
        </w:tc>
      </w:tr>
      <w:tr w:rsidR="007B2E8C" w:rsidRPr="00A0009F" w14:paraId="20096889"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tcPr>
          <w:p w14:paraId="106380CF" w14:textId="77777777" w:rsidR="007B2E8C" w:rsidRPr="004B55F8" w:rsidRDefault="007B2E8C" w:rsidP="007B2E8C">
            <w:pPr>
              <w:jc w:val="center"/>
              <w:rPr>
                <w:rFonts w:asciiTheme="minorHAnsi" w:hAnsiTheme="minorHAnsi" w:cs="Calibri"/>
                <w:b w:val="0"/>
                <w:color w:val="000000"/>
                <w:szCs w:val="20"/>
              </w:rPr>
            </w:pPr>
            <w:r w:rsidRPr="004B55F8">
              <w:rPr>
                <w:rFonts w:asciiTheme="minorHAnsi" w:hAnsiTheme="minorHAnsi" w:cs="Calibri"/>
                <w:b w:val="0"/>
                <w:color w:val="000000"/>
                <w:szCs w:val="20"/>
              </w:rPr>
              <w:t xml:space="preserve"> Prazzo </w:t>
            </w:r>
          </w:p>
        </w:tc>
        <w:tc>
          <w:tcPr>
            <w:tcW w:w="3331" w:type="dxa"/>
            <w:noWrap/>
            <w:vAlign w:val="bottom"/>
          </w:tcPr>
          <w:p w14:paraId="5451522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RC&gt;0 </w:t>
            </w:r>
          </w:p>
        </w:tc>
        <w:tc>
          <w:tcPr>
            <w:tcW w:w="3331" w:type="dxa"/>
            <w:noWrap/>
            <w:vAlign w:val="bottom"/>
          </w:tcPr>
          <w:p w14:paraId="4EC96A8C"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Ceff18&lt;Bench18 </w:t>
            </w:r>
          </w:p>
        </w:tc>
      </w:tr>
      <w:tr w:rsidR="007B2E8C" w:rsidRPr="00A0009F" w14:paraId="2B3E55A8"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tcPr>
          <w:p w14:paraId="23FC03EC" w14:textId="77777777" w:rsidR="007B2E8C" w:rsidRPr="004B55F8" w:rsidRDefault="007B2E8C" w:rsidP="007B2E8C">
            <w:pPr>
              <w:jc w:val="center"/>
              <w:rPr>
                <w:rFonts w:asciiTheme="minorHAnsi" w:hAnsiTheme="minorHAnsi" w:cs="Calibri"/>
                <w:b w:val="0"/>
                <w:color w:val="000000"/>
                <w:szCs w:val="20"/>
              </w:rPr>
            </w:pPr>
            <w:r w:rsidRPr="004B55F8">
              <w:rPr>
                <w:rFonts w:asciiTheme="minorHAnsi" w:hAnsiTheme="minorHAnsi" w:cs="Calibri"/>
                <w:b w:val="0"/>
                <w:color w:val="000000"/>
                <w:szCs w:val="20"/>
              </w:rPr>
              <w:t xml:space="preserve"> San Damiano Macra </w:t>
            </w:r>
          </w:p>
        </w:tc>
        <w:tc>
          <w:tcPr>
            <w:tcW w:w="3331" w:type="dxa"/>
            <w:noWrap/>
            <w:vAlign w:val="bottom"/>
          </w:tcPr>
          <w:p w14:paraId="162F386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RC&gt;0 </w:t>
            </w:r>
          </w:p>
        </w:tc>
        <w:tc>
          <w:tcPr>
            <w:tcW w:w="3331" w:type="dxa"/>
            <w:noWrap/>
            <w:vAlign w:val="bottom"/>
          </w:tcPr>
          <w:p w14:paraId="2C93555B"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Ceff18&lt;Bench18 </w:t>
            </w:r>
          </w:p>
        </w:tc>
      </w:tr>
      <w:tr w:rsidR="007B2E8C" w:rsidRPr="00A0009F" w14:paraId="6CA9F707"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tcPr>
          <w:p w14:paraId="1168E075" w14:textId="77777777" w:rsidR="007B2E8C" w:rsidRPr="004B55F8" w:rsidRDefault="007B2E8C" w:rsidP="007B2E8C">
            <w:pPr>
              <w:jc w:val="center"/>
              <w:rPr>
                <w:rFonts w:asciiTheme="minorHAnsi" w:hAnsiTheme="minorHAnsi" w:cs="Calibri"/>
                <w:b w:val="0"/>
                <w:color w:val="000000"/>
                <w:szCs w:val="20"/>
              </w:rPr>
            </w:pPr>
            <w:r w:rsidRPr="004B55F8">
              <w:rPr>
                <w:rFonts w:asciiTheme="minorHAnsi" w:hAnsiTheme="minorHAnsi" w:cs="Calibri"/>
                <w:b w:val="0"/>
                <w:color w:val="000000"/>
                <w:szCs w:val="20"/>
              </w:rPr>
              <w:t xml:space="preserve"> Stroppo </w:t>
            </w:r>
          </w:p>
        </w:tc>
        <w:tc>
          <w:tcPr>
            <w:tcW w:w="3331" w:type="dxa"/>
            <w:noWrap/>
            <w:vAlign w:val="bottom"/>
          </w:tcPr>
          <w:p w14:paraId="7F77947C"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RC&gt;0 </w:t>
            </w:r>
          </w:p>
        </w:tc>
        <w:tc>
          <w:tcPr>
            <w:tcW w:w="3331" w:type="dxa"/>
            <w:noWrap/>
            <w:vAlign w:val="bottom"/>
          </w:tcPr>
          <w:p w14:paraId="29884ACA"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Ceff18&lt;Bench18 </w:t>
            </w:r>
          </w:p>
        </w:tc>
      </w:tr>
      <w:tr w:rsidR="007B2E8C" w:rsidRPr="00A0009F" w14:paraId="3057A6D5"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tcPr>
          <w:p w14:paraId="4F76CAF7" w14:textId="77777777" w:rsidR="007B2E8C" w:rsidRPr="004B55F8" w:rsidRDefault="007B2E8C" w:rsidP="007B2E8C">
            <w:pPr>
              <w:jc w:val="center"/>
              <w:rPr>
                <w:rFonts w:asciiTheme="minorHAnsi" w:hAnsiTheme="minorHAnsi" w:cs="Calibri"/>
                <w:b w:val="0"/>
                <w:color w:val="000000"/>
                <w:szCs w:val="20"/>
              </w:rPr>
            </w:pPr>
            <w:r w:rsidRPr="004B55F8">
              <w:rPr>
                <w:rFonts w:asciiTheme="minorHAnsi" w:hAnsiTheme="minorHAnsi" w:cs="Calibri"/>
                <w:b w:val="0"/>
                <w:color w:val="000000"/>
                <w:szCs w:val="20"/>
              </w:rPr>
              <w:t xml:space="preserve"> Valgrana </w:t>
            </w:r>
          </w:p>
        </w:tc>
        <w:tc>
          <w:tcPr>
            <w:tcW w:w="3331" w:type="dxa"/>
            <w:noWrap/>
            <w:vAlign w:val="bottom"/>
          </w:tcPr>
          <w:p w14:paraId="1B5556A6"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RC&gt;0 </w:t>
            </w:r>
          </w:p>
        </w:tc>
        <w:tc>
          <w:tcPr>
            <w:tcW w:w="3331" w:type="dxa"/>
            <w:noWrap/>
            <w:vAlign w:val="bottom"/>
          </w:tcPr>
          <w:p w14:paraId="33E9EDE1" w14:textId="77777777" w:rsidR="007B2E8C" w:rsidRPr="004B55F8" w:rsidRDefault="007B2E8C" w:rsidP="007B2E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color w:val="000000"/>
                <w:szCs w:val="20"/>
              </w:rPr>
            </w:pPr>
            <w:r w:rsidRPr="004B55F8">
              <w:rPr>
                <w:rFonts w:asciiTheme="minorHAnsi" w:hAnsiTheme="minorHAnsi" w:cs="Calibri"/>
                <w:color w:val="000000"/>
                <w:szCs w:val="20"/>
              </w:rPr>
              <w:t xml:space="preserve"> Ceff18&lt;Bench18 </w:t>
            </w:r>
          </w:p>
        </w:tc>
      </w:tr>
    </w:tbl>
    <w:p w14:paraId="2DA807E8" w14:textId="77777777" w:rsidR="00C97FE5" w:rsidRDefault="00C97FE5" w:rsidP="00C97FE5">
      <w:pPr>
        <w:autoSpaceDE w:val="0"/>
        <w:autoSpaceDN w:val="0"/>
        <w:adjustRightInd w:val="0"/>
        <w:spacing w:before="0"/>
        <w:rPr>
          <w:rFonts w:asciiTheme="minorHAnsi" w:hAnsiTheme="minorHAnsi"/>
          <w:lang w:eastAsia="en-GB"/>
        </w:rPr>
      </w:pPr>
    </w:p>
    <w:p w14:paraId="2244108C" w14:textId="77777777" w:rsidR="00A46639" w:rsidRDefault="00C97FE5" w:rsidP="00C97FE5">
      <w:pPr>
        <w:autoSpaceDE w:val="0"/>
        <w:autoSpaceDN w:val="0"/>
        <w:adjustRightInd w:val="0"/>
        <w:spacing w:before="0"/>
        <w:rPr>
          <w:rFonts w:asciiTheme="minorHAnsi" w:hAnsiTheme="minorHAnsi"/>
        </w:rPr>
      </w:pPr>
      <w:r>
        <w:rPr>
          <w:rFonts w:asciiTheme="minorHAnsi" w:hAnsiTheme="minorHAnsi"/>
          <w:lang w:eastAsia="en-GB"/>
        </w:rPr>
        <w:t xml:space="preserve">Alla luce degli obiettivi percentuali di raccolta differenziata, di efficacia dell’attività di preparazione per il riutilizzo e il riciclo e di soddisfazione degli utenti del servizio, l’ente scrivente ha valorizzato i coefficienti di gradualità così come </w:t>
      </w:r>
      <w:r>
        <w:rPr>
          <w:rFonts w:asciiTheme="minorHAnsi" w:hAnsiTheme="minorHAnsi"/>
        </w:rPr>
        <w:t xml:space="preserve">rappresentato nel PEF allegato alla presente relazione. </w:t>
      </w:r>
    </w:p>
    <w:p w14:paraId="283B865B" w14:textId="77777777" w:rsidR="00C97FE5" w:rsidRDefault="00C97FE5" w:rsidP="00C97FE5">
      <w:pPr>
        <w:autoSpaceDE w:val="0"/>
        <w:autoSpaceDN w:val="0"/>
        <w:adjustRightInd w:val="0"/>
        <w:spacing w:before="0"/>
        <w:rPr>
          <w:rFonts w:asciiTheme="minorHAnsi" w:hAnsiTheme="minorHAnsi"/>
          <w:lang w:eastAsia="en-GB"/>
        </w:rPr>
      </w:pPr>
    </w:p>
    <w:p w14:paraId="0E9E0D14"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xml:space="preserve"> assume, pertanto, il valore </w:t>
      </w:r>
      <w:r>
        <w:rPr>
          <w:rFonts w:asciiTheme="minorHAnsi" w:hAnsiTheme="minorHAnsi"/>
        </w:rPr>
        <w:t xml:space="preserve">rappresentato nel PEF allegato alla presente relazione. </w:t>
      </w:r>
    </w:p>
    <w:p w14:paraId="60687EB2" w14:textId="77777777" w:rsidR="00C97FE5" w:rsidRDefault="00C97FE5" w:rsidP="00102D1A">
      <w:pPr>
        <w:rPr>
          <w:lang w:eastAsia="en-GB"/>
        </w:rPr>
      </w:pPr>
      <w:r>
        <w:rPr>
          <w:lang w:eastAsia="en-GB"/>
        </w:rPr>
        <w:t xml:space="preserve">In merito alla valorizzazione dei parametri </w:t>
      </w:r>
      <w:r>
        <w:rPr>
          <w:rFonts w:cs="Calibri"/>
          <w:lang w:eastAsia="en-GB"/>
        </w:rPr>
        <w:t>γ</w:t>
      </w:r>
      <w:r>
        <w:rPr>
          <w:sz w:val="18"/>
          <w:szCs w:val="22"/>
          <w:vertAlign w:val="subscript"/>
          <w:lang w:eastAsia="en-GB"/>
        </w:rPr>
        <w:t xml:space="preserve">1,a, </w:t>
      </w:r>
      <w:r>
        <w:rPr>
          <w:rFonts w:cs="Calibri"/>
          <w:lang w:eastAsia="en-GB"/>
        </w:rPr>
        <w:t>γ</w:t>
      </w:r>
      <w:r>
        <w:rPr>
          <w:sz w:val="18"/>
          <w:szCs w:val="22"/>
          <w:vertAlign w:val="subscript"/>
          <w:lang w:eastAsia="en-GB"/>
        </w:rPr>
        <w:t xml:space="preserve">2,a, </w:t>
      </w:r>
      <w:r>
        <w:rPr>
          <w:rFonts w:cs="Calibri"/>
          <w:lang w:eastAsia="en-GB"/>
        </w:rPr>
        <w:t>γ</w:t>
      </w:r>
      <w:r>
        <w:rPr>
          <w:sz w:val="18"/>
          <w:szCs w:val="22"/>
          <w:vertAlign w:val="subscript"/>
          <w:lang w:eastAsia="en-GB"/>
        </w:rPr>
        <w:t xml:space="preserve">3,a, </w:t>
      </w:r>
      <w:r>
        <w:rPr>
          <w:lang w:eastAsia="en-GB"/>
        </w:rPr>
        <w:t xml:space="preserve"> all’interno dell’intervallo definito dalle tabelle di cui ai commi 16.5 e 16.6 del MTR e tenendo conto delle indicazioni del comma 16.7 del MTR si evidenzia nel seguito il criterio metodologico utilizzato al fine dell</w:t>
      </w:r>
      <w:r w:rsidR="00102D1A">
        <w:rPr>
          <w:lang w:eastAsia="en-GB"/>
        </w:rPr>
        <w:t>a determinazione dei parametri.</w:t>
      </w:r>
    </w:p>
    <w:p w14:paraId="23D168FA" w14:textId="77777777" w:rsidR="00102D1A" w:rsidRPr="00102D1A" w:rsidRDefault="00102D1A" w:rsidP="00102D1A">
      <w:pPr>
        <w:rPr>
          <w:lang w:eastAsia="en-GB"/>
        </w:rPr>
      </w:pPr>
    </w:p>
    <w:p w14:paraId="33B51164" w14:textId="77777777" w:rsidR="00830432" w:rsidRPr="00CB19B5" w:rsidRDefault="0005635A"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La scelta dei parametri è stata effettuata cercando di minimizzare gli impatti della componente a conguaglio in quanto la logica che sta alla base di queste scelte rispecchia la situazione dei Comuni Consorziati nei quali la TARI è emessa e riscossa da ogni singolo Comune</w:t>
      </w:r>
      <w:r w:rsidR="00AC1EF6" w:rsidRPr="00CB19B5">
        <w:rPr>
          <w:rFonts w:asciiTheme="minorHAnsi" w:hAnsiTheme="minorHAnsi"/>
          <w:lang w:eastAsia="en-GB"/>
        </w:rPr>
        <w:t>,</w:t>
      </w:r>
      <w:r w:rsidRPr="00CB19B5">
        <w:rPr>
          <w:rFonts w:asciiTheme="minorHAnsi" w:hAnsiTheme="minorHAnsi"/>
          <w:lang w:eastAsia="en-GB"/>
        </w:rPr>
        <w:t xml:space="preserve"> </w:t>
      </w:r>
      <w:r w:rsidR="00AC1EF6" w:rsidRPr="00CB19B5">
        <w:rPr>
          <w:rFonts w:asciiTheme="minorHAnsi" w:hAnsiTheme="minorHAnsi"/>
          <w:lang w:eastAsia="en-GB"/>
        </w:rPr>
        <w:t>e non dal Gestore</w:t>
      </w:r>
      <w:r w:rsidR="00830432" w:rsidRPr="00CB19B5">
        <w:rPr>
          <w:rFonts w:asciiTheme="minorHAnsi" w:hAnsiTheme="minorHAnsi"/>
          <w:lang w:eastAsia="en-GB"/>
        </w:rPr>
        <w:t xml:space="preserve">. </w:t>
      </w:r>
    </w:p>
    <w:p w14:paraId="4469099C" w14:textId="77777777" w:rsidR="00D079D2" w:rsidRPr="00CB19B5" w:rsidRDefault="00D079D2"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Le scelte effettuate sono state:</w:t>
      </w:r>
    </w:p>
    <w:p w14:paraId="0CA28F2D" w14:textId="77777777" w:rsidR="00D079D2" w:rsidRPr="00CB19B5" w:rsidRDefault="0005635A" w:rsidP="00CB19B5">
      <w:pPr>
        <w:pStyle w:val="Paragrafoelenco"/>
        <w:numPr>
          <w:ilvl w:val="0"/>
          <w:numId w:val="21"/>
        </w:numPr>
        <w:autoSpaceDE w:val="0"/>
        <w:autoSpaceDN w:val="0"/>
        <w:adjustRightInd w:val="0"/>
        <w:spacing w:before="0"/>
        <w:jc w:val="both"/>
        <w:rPr>
          <w:rFonts w:cs="Calibri"/>
          <w:lang w:eastAsia="en-GB"/>
        </w:rPr>
      </w:pPr>
      <w:r w:rsidRPr="00CB19B5">
        <w:rPr>
          <w:rFonts w:asciiTheme="minorHAnsi" w:hAnsiTheme="minorHAnsi"/>
          <w:lang w:eastAsia="en-GB"/>
        </w:rPr>
        <w:t xml:space="preserve"> </w:t>
      </w:r>
      <w:r w:rsidRPr="00CB19B5">
        <w:rPr>
          <w:rFonts w:cs="Calibri"/>
          <w:lang w:eastAsia="en-GB"/>
        </w:rPr>
        <w:t>ϒ</w:t>
      </w:r>
      <w:r w:rsidRPr="00CB19B5">
        <w:rPr>
          <w:rFonts w:cs="Calibri"/>
          <w:vertAlign w:val="subscript"/>
          <w:lang w:eastAsia="en-GB"/>
        </w:rPr>
        <w:t>1</w:t>
      </w:r>
      <w:r w:rsidRPr="00CB19B5">
        <w:rPr>
          <w:rFonts w:cs="Calibri"/>
          <w:lang w:eastAsia="en-GB"/>
        </w:rPr>
        <w:t xml:space="preserve"> </w:t>
      </w:r>
      <w:r w:rsidR="00D079D2" w:rsidRPr="00CB19B5">
        <w:rPr>
          <w:rFonts w:cs="Calibri"/>
          <w:lang w:eastAsia="en-GB"/>
        </w:rPr>
        <w:t>relativo</w:t>
      </w:r>
      <w:r w:rsidR="00830432" w:rsidRPr="00CB19B5">
        <w:rPr>
          <w:rFonts w:cs="Calibri"/>
          <w:lang w:eastAsia="en-GB"/>
        </w:rPr>
        <w:t xml:space="preserve"> </w:t>
      </w:r>
      <w:r w:rsidRPr="00CB19B5">
        <w:rPr>
          <w:rFonts w:cs="Calibri"/>
          <w:lang w:eastAsia="en-GB"/>
        </w:rPr>
        <w:t>alla % di raccolta differenziata di ciascun Comune,</w:t>
      </w:r>
      <w:r w:rsidR="00AC1EF6" w:rsidRPr="00CB19B5">
        <w:rPr>
          <w:rFonts w:cs="Calibri"/>
          <w:lang w:eastAsia="en-GB"/>
        </w:rPr>
        <w:t xml:space="preserve"> </w:t>
      </w:r>
    </w:p>
    <w:p w14:paraId="535B5B3B" w14:textId="77777777" w:rsidR="00D079D2" w:rsidRPr="00CB19B5" w:rsidRDefault="00D079D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 xml:space="preserve"> </w:t>
      </w:r>
      <w:r w:rsidR="00AC1EF6" w:rsidRPr="00CB19B5">
        <w:rPr>
          <w:rFonts w:cs="Calibri"/>
          <w:lang w:eastAsia="en-GB"/>
        </w:rPr>
        <w:t>ϒ</w:t>
      </w:r>
      <w:r w:rsidR="00AC1EF6" w:rsidRPr="00CB19B5">
        <w:rPr>
          <w:rFonts w:cs="Calibri"/>
          <w:vertAlign w:val="subscript"/>
          <w:lang w:eastAsia="en-GB"/>
        </w:rPr>
        <w:t>2</w:t>
      </w:r>
      <w:r w:rsidR="00AC1EF6" w:rsidRPr="00CB19B5">
        <w:rPr>
          <w:rFonts w:cs="Calibri"/>
          <w:lang w:eastAsia="en-GB"/>
        </w:rPr>
        <w:t xml:space="preserve">  minim</w:t>
      </w:r>
      <w:r w:rsidR="00830432" w:rsidRPr="00CB19B5">
        <w:rPr>
          <w:rFonts w:cs="Calibri"/>
          <w:lang w:eastAsia="en-GB"/>
        </w:rPr>
        <w:t>o</w:t>
      </w:r>
      <w:r w:rsidR="00AC1EF6" w:rsidRPr="00CB19B5">
        <w:rPr>
          <w:rFonts w:cs="Calibri"/>
          <w:lang w:eastAsia="en-GB"/>
        </w:rPr>
        <w:t xml:space="preserve">  in quanto non è possibile valorizzare puntualmente l'efficacia dell'attività di preparazione per il riutilizzo e riciclo </w:t>
      </w:r>
    </w:p>
    <w:p w14:paraId="72C7D4E0" w14:textId="77777777" w:rsidR="0005635A" w:rsidRPr="00215F27" w:rsidRDefault="00830432" w:rsidP="00C97FE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r w:rsidRPr="00CB19B5">
        <w:rPr>
          <w:rFonts w:cs="Calibri"/>
          <w:vertAlign w:val="subscript"/>
          <w:lang w:eastAsia="en-GB"/>
        </w:rPr>
        <w:t>3</w:t>
      </w:r>
      <w:r w:rsidR="00AC1EF6" w:rsidRPr="00CB19B5">
        <w:rPr>
          <w:rFonts w:cs="Calibri"/>
          <w:lang w:eastAsia="en-GB"/>
        </w:rPr>
        <w:t xml:space="preserve"> </w:t>
      </w:r>
      <w:r w:rsidRPr="00CB19B5">
        <w:rPr>
          <w:rFonts w:cs="Calibri"/>
          <w:lang w:eastAsia="en-GB"/>
        </w:rPr>
        <w:t xml:space="preserve"> minimo dal momento che non è possibile valorizzare </w:t>
      </w:r>
      <w:r w:rsidR="00AC1EF6" w:rsidRPr="00CB19B5">
        <w:rPr>
          <w:rFonts w:cs="Calibri"/>
          <w:lang w:eastAsia="en-GB"/>
        </w:rPr>
        <w:t xml:space="preserve">il </w:t>
      </w:r>
      <w:r w:rsidRPr="00CB19B5">
        <w:rPr>
          <w:rFonts w:cs="Calibri"/>
          <w:lang w:eastAsia="en-GB"/>
        </w:rPr>
        <w:t>grado di</w:t>
      </w:r>
      <w:r w:rsidR="00AC1EF6" w:rsidRPr="00CB19B5">
        <w:rPr>
          <w:rFonts w:cs="Calibri"/>
          <w:lang w:eastAsia="en-GB"/>
        </w:rPr>
        <w:t xml:space="preserve"> soddisfazione degli utenti del servizio.</w:t>
      </w:r>
    </w:p>
    <w:p w14:paraId="773E8B89" w14:textId="77777777" w:rsidR="00C97FE5" w:rsidRDefault="00C97FE5" w:rsidP="00C97FE5">
      <w:pPr>
        <w:pStyle w:val="Titolo2"/>
        <w:rPr>
          <w:i/>
        </w:rPr>
      </w:pPr>
      <w:bookmarkStart w:id="56" w:name="_Toc43722734"/>
      <w:bookmarkStart w:id="57" w:name="_Toc45528387"/>
      <w:r>
        <w:lastRenderedPageBreak/>
        <w:t xml:space="preserve">Focus sulla valorizzazione dei fattori di </w:t>
      </w:r>
      <w:r>
        <w:rPr>
          <w:i/>
        </w:rPr>
        <w:t>sharing</w:t>
      </w:r>
      <w:bookmarkEnd w:id="56"/>
      <w:bookmarkEnd w:id="57"/>
    </w:p>
    <w:p w14:paraId="357BF1D8" w14:textId="77777777" w:rsidR="00C97FE5" w:rsidRDefault="00C97FE5" w:rsidP="00C97FE5">
      <w:pPr>
        <w:rPr>
          <w:lang w:eastAsia="en-GB"/>
        </w:rPr>
      </w:pPr>
      <w:r>
        <w:rPr>
          <w:lang w:eastAsia="en-GB"/>
        </w:rPr>
        <w:t>Al fine di favorire gli incentivi alla crescita dei ricavi dalla vendita di materiali e/o energia, l’ente scrivente dispone di due parametri (</w:t>
      </w:r>
      <w:r>
        <w:rPr>
          <w:i/>
          <w:iCs/>
          <w:lang w:eastAsia="en-GB"/>
        </w:rPr>
        <w:t>b</w:t>
      </w:r>
      <w:r>
        <w:rPr>
          <w:lang w:eastAsia="en-GB"/>
        </w:rPr>
        <w:t xml:space="preserve"> e </w:t>
      </w:r>
      <w:r>
        <w:rPr>
          <w:i/>
          <w:iCs/>
          <w:lang w:eastAsia="en-GB"/>
        </w:rPr>
        <w:t>b(1+ω)</w:t>
      </w:r>
      <w:r>
        <w:rPr>
          <w:lang w:eastAsia="en-GB"/>
        </w:rPr>
        <w:t>) necessari a ripartire la quota di proventi derivanti dalla vendita di materiali e/o energia tra il gestore e le componenti a deduzione della tariffa variabile.</w:t>
      </w:r>
    </w:p>
    <w:p w14:paraId="6EF9B4AC" w14:textId="77777777" w:rsidR="00C97FE5" w:rsidRDefault="00C97FE5" w:rsidP="00C97FE5">
      <w:pPr>
        <w:rPr>
          <w:lang w:eastAsia="en-GB"/>
        </w:rPr>
      </w:pPr>
      <w:r>
        <w:rPr>
          <w:lang w:eastAsia="en-GB"/>
        </w:rPr>
        <w:t xml:space="preserve"> Nel dettaglio:</w:t>
      </w:r>
    </w:p>
    <w:p w14:paraId="7C951614" w14:textId="77777777" w:rsidR="00C97FE5" w:rsidRDefault="00C97FE5" w:rsidP="00C97FE5">
      <w:pPr>
        <w:pStyle w:val="Paragrafoelenco"/>
        <w:numPr>
          <w:ilvl w:val="0"/>
          <w:numId w:val="16"/>
        </w:numPr>
        <w:spacing w:line="252" w:lineRule="auto"/>
        <w:jc w:val="both"/>
        <w:rPr>
          <w:lang w:eastAsia="en-GB"/>
        </w:rPr>
      </w:pPr>
      <w:r>
        <w:rPr>
          <w:i/>
          <w:iCs/>
          <w:lang w:eastAsia="en-GB"/>
        </w:rPr>
        <w:t>b</w:t>
      </w:r>
      <w:r>
        <w:rPr>
          <w:lang w:eastAsia="en-GB"/>
        </w:rPr>
        <w:t xml:space="preserve"> è il fattore di </w:t>
      </w:r>
      <w:r>
        <w:rPr>
          <w:i/>
          <w:lang w:eastAsia="en-GB"/>
        </w:rPr>
        <w:t>sharing</w:t>
      </w:r>
      <w:r>
        <w:rPr>
          <w:lang w:eastAsia="en-GB"/>
        </w:rPr>
        <w:t xml:space="preserve"> dei proventi, che può assumere un valore compreso nell’intervallo [0,3 , 0,6].</w:t>
      </w:r>
    </w:p>
    <w:p w14:paraId="7E7CF72C" w14:textId="77777777" w:rsidR="00C97FE5" w:rsidRDefault="00C97FE5" w:rsidP="00C97FE5">
      <w:pPr>
        <w:pStyle w:val="Paragrafoelenco"/>
        <w:numPr>
          <w:ilvl w:val="0"/>
          <w:numId w:val="16"/>
        </w:numPr>
        <w:spacing w:line="252" w:lineRule="auto"/>
        <w:jc w:val="both"/>
        <w:rPr>
          <w:lang w:eastAsia="en-GB"/>
        </w:rPr>
      </w:pPr>
      <w:r>
        <w:rPr>
          <w:i/>
          <w:iCs/>
          <w:lang w:eastAsia="en-GB"/>
        </w:rPr>
        <w:t>b(1+ω)</w:t>
      </w:r>
      <w:r>
        <w:rPr>
          <w:lang w:eastAsia="en-GB"/>
        </w:rPr>
        <w:t xml:space="preserve"> è il fattore di </w:t>
      </w:r>
      <w:r>
        <w:rPr>
          <w:i/>
          <w:lang w:eastAsia="en-GB"/>
        </w:rPr>
        <w:t>sharing</w:t>
      </w:r>
      <w:r>
        <w:rPr>
          <w:lang w:eastAsia="en-GB"/>
        </w:rPr>
        <w:t xml:space="preserve"> dei proventi derivanti dai corrispettivi riconosciuti dal CONAI, dove </w:t>
      </w:r>
      <w:r>
        <w:rPr>
          <w:i/>
          <w:iCs/>
          <w:lang w:eastAsia="en-GB"/>
        </w:rPr>
        <w:t>ω</w:t>
      </w:r>
      <w:r>
        <w:rPr>
          <w:lang w:eastAsia="en-GB"/>
        </w:rPr>
        <w:t xml:space="preserve"> è determinato in coerenza con le valutazioni compiute ai fini della determinazione dei parametri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Pr>
          <w:lang w:eastAsia="en-GB"/>
        </w:rPr>
        <w:t xml:space="preserve"> e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Pr>
          <w:lang w:eastAsia="en-GB"/>
        </w:rPr>
        <w:t xml:space="preserve">di cui al punto 4.5.2; </w:t>
      </w:r>
      <w:r>
        <w:rPr>
          <w:i/>
          <w:iCs/>
          <w:lang w:eastAsia="en-GB"/>
        </w:rPr>
        <w:t xml:space="preserve">ω </w:t>
      </w:r>
      <w:r>
        <w:rPr>
          <w:lang w:eastAsia="en-GB"/>
        </w:rPr>
        <w:t>può assumere un valore compreso nell’intervallo [0,1 , 0,4]</w:t>
      </w:r>
    </w:p>
    <w:p w14:paraId="1B234135" w14:textId="77777777" w:rsidR="0061707F" w:rsidRPr="00266B58" w:rsidRDefault="00C97FE5" w:rsidP="00C97FE5">
      <w:pPr>
        <w:rPr>
          <w:rFonts w:asciiTheme="minorHAnsi" w:hAnsiTheme="minorHAnsi" w:cstheme="minorHAnsi"/>
          <w:lang w:eastAsia="en-GB"/>
        </w:rPr>
      </w:pPr>
      <w:r w:rsidRPr="00266B58">
        <w:rPr>
          <w:lang w:eastAsia="en-GB"/>
        </w:rPr>
        <w:t xml:space="preserve">L’Ente scrivente ha deciso di valorizzare il coefficiente di </w:t>
      </w:r>
      <w:r w:rsidRPr="00266B58">
        <w:rPr>
          <w:i/>
          <w:iCs/>
          <w:lang w:eastAsia="en-GB"/>
        </w:rPr>
        <w:t>sharing</w:t>
      </w:r>
      <w:r w:rsidRPr="00266B58">
        <w:rPr>
          <w:lang w:eastAsia="en-GB"/>
        </w:rPr>
        <w:t xml:space="preserve"> </w:t>
      </w:r>
      <w:r w:rsidRPr="00266B58">
        <w:rPr>
          <w:rFonts w:asciiTheme="minorHAnsi" w:hAnsiTheme="minorHAnsi" w:cstheme="minorHAnsi"/>
          <w:lang w:eastAsia="en-GB"/>
        </w:rPr>
        <w:t>b ten</w:t>
      </w:r>
      <w:r w:rsidR="00CD638B" w:rsidRPr="00266B58">
        <w:rPr>
          <w:rFonts w:asciiTheme="minorHAnsi" w:hAnsiTheme="minorHAnsi" w:cstheme="minorHAnsi"/>
          <w:lang w:eastAsia="en-GB"/>
        </w:rPr>
        <w:t>uto</w:t>
      </w:r>
      <w:r w:rsidRPr="00266B58">
        <w:rPr>
          <w:rFonts w:asciiTheme="minorHAnsi" w:hAnsiTheme="minorHAnsi" w:cstheme="minorHAnsi"/>
          <w:lang w:eastAsia="en-GB"/>
        </w:rPr>
        <w:t xml:space="preserve"> conto </w:t>
      </w:r>
      <w:r w:rsidR="0061707F" w:rsidRPr="00266B58">
        <w:rPr>
          <w:rFonts w:asciiTheme="minorHAnsi" w:hAnsiTheme="minorHAnsi" w:cstheme="minorHAnsi"/>
          <w:lang w:eastAsia="en-GB"/>
        </w:rPr>
        <w:t xml:space="preserve">che il Consorzio affida mediante gara d’appalto </w:t>
      </w:r>
      <w:r w:rsidR="00CD638B" w:rsidRPr="00266B58">
        <w:rPr>
          <w:rFonts w:asciiTheme="minorHAnsi" w:hAnsiTheme="minorHAnsi" w:cstheme="minorHAnsi"/>
          <w:lang w:eastAsia="en-GB"/>
        </w:rPr>
        <w:t>il servizio di raccolta rifiuti.</w:t>
      </w:r>
      <w:r w:rsidR="0061707F" w:rsidRPr="00266B58">
        <w:rPr>
          <w:rFonts w:asciiTheme="minorHAnsi" w:hAnsiTheme="minorHAnsi" w:cstheme="minorHAnsi"/>
          <w:lang w:eastAsia="en-GB"/>
        </w:rPr>
        <w:t xml:space="preserve"> </w:t>
      </w:r>
      <w:r w:rsidR="00CD638B" w:rsidRPr="00266B58">
        <w:rPr>
          <w:rFonts w:asciiTheme="minorHAnsi" w:hAnsiTheme="minorHAnsi" w:cstheme="minorHAnsi"/>
          <w:lang w:eastAsia="en-GB"/>
        </w:rPr>
        <w:t xml:space="preserve">Alla luce del fatto che il </w:t>
      </w:r>
      <w:r w:rsidR="0061707F" w:rsidRPr="00266B58">
        <w:rPr>
          <w:rFonts w:asciiTheme="minorHAnsi" w:hAnsiTheme="minorHAnsi" w:cstheme="minorHAnsi"/>
          <w:lang w:eastAsia="en-GB"/>
        </w:rPr>
        <w:t xml:space="preserve">MTR prevede che siano inseriti i costi del Gestore e non i valori del </w:t>
      </w:r>
      <w:r w:rsidR="00AC1EF6" w:rsidRPr="00266B58">
        <w:rPr>
          <w:rFonts w:asciiTheme="minorHAnsi" w:hAnsiTheme="minorHAnsi" w:cstheme="minorHAnsi"/>
          <w:lang w:eastAsia="en-GB"/>
        </w:rPr>
        <w:t>contratto in esser</w:t>
      </w:r>
      <w:r w:rsidR="0061707F" w:rsidRPr="00266B58">
        <w:rPr>
          <w:rFonts w:asciiTheme="minorHAnsi" w:hAnsiTheme="minorHAnsi" w:cstheme="minorHAnsi"/>
          <w:lang w:eastAsia="en-GB"/>
        </w:rPr>
        <w:t>e</w:t>
      </w:r>
      <w:r w:rsidR="00266B58"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che il Consorzio rifattura ai singoli comuni lo stesso valore del contratto</w:t>
      </w:r>
      <w:r w:rsidR="00266B58" w:rsidRPr="00266B58">
        <w:rPr>
          <w:rFonts w:asciiTheme="minorHAnsi" w:hAnsiTheme="minorHAnsi" w:cstheme="minorHAnsi"/>
          <w:lang w:eastAsia="en-GB"/>
        </w:rPr>
        <w:t xml:space="preserve">, che </w:t>
      </w:r>
      <w:r w:rsidR="0061707F" w:rsidRPr="00266B58">
        <w:rPr>
          <w:rFonts w:asciiTheme="minorHAnsi" w:hAnsiTheme="minorHAnsi" w:cstheme="minorHAnsi"/>
          <w:lang w:eastAsia="en-GB"/>
        </w:rPr>
        <w:t>i ricavi relativi alla gestione del materiale differenziato non</w:t>
      </w:r>
      <w:r w:rsidR="00F05C5C" w:rsidRPr="00266B58">
        <w:rPr>
          <w:rFonts w:asciiTheme="minorHAnsi" w:hAnsiTheme="minorHAnsi" w:cstheme="minorHAnsi"/>
          <w:lang w:eastAsia="en-GB"/>
        </w:rPr>
        <w:t xml:space="preserve"> sono di compet</w:t>
      </w:r>
      <w:r w:rsidR="00CD638B" w:rsidRPr="00266B58">
        <w:rPr>
          <w:rFonts w:asciiTheme="minorHAnsi" w:hAnsiTheme="minorHAnsi" w:cstheme="minorHAnsi"/>
          <w:lang w:eastAsia="en-GB"/>
        </w:rPr>
        <w:t xml:space="preserve">enza del </w:t>
      </w:r>
      <w:r w:rsidR="00266B58" w:rsidRPr="00266B58">
        <w:rPr>
          <w:rFonts w:asciiTheme="minorHAnsi" w:hAnsiTheme="minorHAnsi" w:cstheme="minorHAnsi"/>
          <w:lang w:eastAsia="en-GB"/>
        </w:rPr>
        <w:t>Gestore</w:t>
      </w:r>
      <w:r w:rsidR="00CD638B" w:rsidRPr="00266B58">
        <w:rPr>
          <w:rFonts w:asciiTheme="minorHAnsi" w:hAnsiTheme="minorHAnsi" w:cstheme="minorHAnsi"/>
          <w:lang w:eastAsia="en-GB"/>
        </w:rPr>
        <w:t xml:space="preserve"> ma del</w:t>
      </w:r>
      <w:r w:rsidR="00F05C5C" w:rsidRPr="00266B58">
        <w:rPr>
          <w:rFonts w:asciiTheme="minorHAnsi" w:hAnsiTheme="minorHAnsi" w:cstheme="minorHAnsi"/>
          <w:lang w:eastAsia="en-GB"/>
        </w:rPr>
        <w:t xml:space="preserve"> C</w:t>
      </w:r>
      <w:r w:rsidR="00266B58" w:rsidRPr="00266B58">
        <w:rPr>
          <w:rFonts w:asciiTheme="minorHAnsi" w:hAnsiTheme="minorHAnsi" w:cstheme="minorHAnsi"/>
          <w:lang w:eastAsia="en-GB"/>
        </w:rPr>
        <w:t>EC</w:t>
      </w:r>
      <w:r w:rsidR="0061707F" w:rsidRPr="00266B58">
        <w:rPr>
          <w:rFonts w:asciiTheme="minorHAnsi" w:hAnsiTheme="minorHAnsi" w:cstheme="minorHAnsi"/>
          <w:lang w:eastAsia="en-GB"/>
        </w:rPr>
        <w:t xml:space="preserve"> che nel bilancio consuntivo va a definire le quote spettanti per ciascun comune</w:t>
      </w:r>
      <w:r w:rsidR="00CD638B" w:rsidRPr="00266B58">
        <w:rPr>
          <w:rFonts w:asciiTheme="minorHAnsi" w:hAnsiTheme="minorHAnsi" w:cstheme="minorHAnsi"/>
          <w:lang w:eastAsia="en-GB"/>
        </w:rPr>
        <w:t>, l</w:t>
      </w:r>
      <w:r w:rsidR="00F05C5C" w:rsidRPr="00266B58">
        <w:rPr>
          <w:lang w:eastAsia="en-GB"/>
        </w:rPr>
        <w:t xml:space="preserve">a valorizzazione del coefficiente di </w:t>
      </w:r>
      <w:r w:rsidR="00F05C5C" w:rsidRPr="00266B58">
        <w:rPr>
          <w:i/>
          <w:iCs/>
          <w:lang w:eastAsia="en-GB"/>
        </w:rPr>
        <w:t>sharing</w:t>
      </w:r>
      <w:r w:rsidR="00F05C5C" w:rsidRPr="00266B58">
        <w:rPr>
          <w:lang w:eastAsia="en-GB"/>
        </w:rPr>
        <w:t xml:space="preserve"> </w:t>
      </w:r>
      <w:r w:rsidR="00F05C5C" w:rsidRPr="00266B58">
        <w:rPr>
          <w:rFonts w:asciiTheme="minorHAnsi" w:hAnsiTheme="minorHAnsi" w:cstheme="minorHAnsi"/>
          <w:lang w:eastAsia="en-GB"/>
        </w:rPr>
        <w:t>b è stata effettuata nei limiti previsti dal Metodo</w:t>
      </w:r>
      <w:r w:rsidR="00266B58" w:rsidRPr="00266B58">
        <w:rPr>
          <w:rFonts w:asciiTheme="minorHAnsi" w:hAnsiTheme="minorHAnsi" w:cstheme="minorHAnsi"/>
          <w:lang w:eastAsia="en-GB"/>
        </w:rPr>
        <w:t>,</w:t>
      </w:r>
      <w:r w:rsidR="00F05C5C"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cerca</w:t>
      </w:r>
      <w:r w:rsidR="00F05C5C" w:rsidRPr="00266B58">
        <w:rPr>
          <w:rFonts w:asciiTheme="minorHAnsi" w:hAnsiTheme="minorHAnsi" w:cstheme="minorHAnsi"/>
          <w:lang w:eastAsia="en-GB"/>
        </w:rPr>
        <w:t>ndo</w:t>
      </w:r>
      <w:r w:rsidR="0061707F" w:rsidRPr="00266B58">
        <w:rPr>
          <w:rFonts w:asciiTheme="minorHAnsi" w:hAnsiTheme="minorHAnsi" w:cstheme="minorHAnsi"/>
          <w:lang w:eastAsia="en-GB"/>
        </w:rPr>
        <w:t xml:space="preserve"> di equilibrare la differenza tra costi e contratto vigente </w:t>
      </w:r>
      <w:r w:rsidR="00F05C5C" w:rsidRPr="00266B58">
        <w:rPr>
          <w:rFonts w:asciiTheme="minorHAnsi" w:hAnsiTheme="minorHAnsi" w:cstheme="minorHAnsi"/>
          <w:lang w:eastAsia="en-GB"/>
        </w:rPr>
        <w:t>al netto dei ricavi della differenziata</w:t>
      </w:r>
      <w:r w:rsidR="0061707F" w:rsidRPr="00266B58">
        <w:rPr>
          <w:rFonts w:asciiTheme="minorHAnsi" w:hAnsiTheme="minorHAnsi" w:cstheme="minorHAnsi"/>
          <w:lang w:eastAsia="en-GB"/>
        </w:rPr>
        <w:t>.</w:t>
      </w:r>
    </w:p>
    <w:p w14:paraId="32894939" w14:textId="77777777" w:rsidR="00C97FE5" w:rsidRDefault="00C97FE5" w:rsidP="00C97FE5">
      <w:pPr>
        <w:pStyle w:val="Paragrafoelenco"/>
        <w:ind w:left="0"/>
        <w:jc w:val="both"/>
        <w:rPr>
          <w:rFonts w:asciiTheme="minorHAnsi" w:hAnsiTheme="minorHAnsi"/>
        </w:rPr>
      </w:pPr>
      <w:r w:rsidRPr="00266B58">
        <w:rPr>
          <w:iCs/>
          <w:lang w:eastAsia="en-GB"/>
        </w:rPr>
        <w:t>La valorizzazione dei</w:t>
      </w:r>
      <w:r>
        <w:rPr>
          <w:iCs/>
          <w:lang w:eastAsia="en-GB"/>
        </w:rPr>
        <w:t xml:space="preserve"> fattori di </w:t>
      </w:r>
      <w:r>
        <w:rPr>
          <w:i/>
          <w:iCs/>
          <w:lang w:eastAsia="en-GB"/>
        </w:rPr>
        <w:t>sharing</w:t>
      </w:r>
      <w:r>
        <w:rPr>
          <w:iCs/>
          <w:lang w:eastAsia="en-GB"/>
        </w:rPr>
        <w:t xml:space="preserve"> utilizzati viene</w:t>
      </w:r>
      <w:r>
        <w:rPr>
          <w:i/>
          <w:iCs/>
          <w:lang w:eastAsia="en-GB"/>
        </w:rPr>
        <w:t xml:space="preserve"> </w:t>
      </w:r>
      <w:r>
        <w:rPr>
          <w:rFonts w:asciiTheme="minorHAnsi" w:hAnsiTheme="minorHAnsi"/>
        </w:rPr>
        <w:t xml:space="preserve">rappresentata nel PEF allegato alla presente relazione. </w:t>
      </w:r>
    </w:p>
    <w:p w14:paraId="57CAE7AC" w14:textId="77777777" w:rsidR="00C97FE5" w:rsidRDefault="00C97FE5" w:rsidP="00C97FE5"/>
    <w:p w14:paraId="1E2694C4" w14:textId="77777777" w:rsidR="00C97FE5" w:rsidRDefault="00C97FE5" w:rsidP="00C97FE5">
      <w:pPr>
        <w:pStyle w:val="Titolo2"/>
      </w:pPr>
      <w:bookmarkStart w:id="58" w:name="_Toc43722735"/>
      <w:bookmarkStart w:id="59" w:name="_Toc45528388"/>
      <w:r>
        <w:t>Scelta degli ulteriori parametri</w:t>
      </w:r>
      <w:bookmarkEnd w:id="58"/>
      <w:bookmarkEnd w:id="59"/>
    </w:p>
    <w:p w14:paraId="4925F087" w14:textId="77777777" w:rsidR="00C97FE5" w:rsidRPr="001E6AF2" w:rsidRDefault="00C97FE5" w:rsidP="00C97FE5">
      <w:pPr>
        <w:rPr>
          <w:lang w:eastAsia="en-GB"/>
        </w:rPr>
      </w:pPr>
    </w:p>
    <w:p w14:paraId="4F895644"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In questo paragrafo vengono indicate le scelte ulteriori di competenza dell’ente territorialmente competente.</w:t>
      </w:r>
    </w:p>
    <w:p w14:paraId="62BF45C5" w14:textId="77777777" w:rsidR="00215F27" w:rsidRDefault="00215F27" w:rsidP="00C97FE5">
      <w:pPr>
        <w:autoSpaceDE w:val="0"/>
        <w:autoSpaceDN w:val="0"/>
        <w:adjustRightInd w:val="0"/>
        <w:spacing w:before="0"/>
        <w:rPr>
          <w:rFonts w:asciiTheme="minorHAnsi" w:hAnsiTheme="minorHAnsi"/>
          <w:lang w:eastAsia="en-GB"/>
        </w:rPr>
      </w:pPr>
    </w:p>
    <w:p w14:paraId="5EE472F4" w14:textId="77777777" w:rsidR="00C97FE5" w:rsidRDefault="00C97FE5" w:rsidP="00C97FE5">
      <w:pPr>
        <w:autoSpaceDE w:val="0"/>
        <w:autoSpaceDN w:val="0"/>
        <w:adjustRightInd w:val="0"/>
        <w:spacing w:before="0"/>
        <w:rPr>
          <w:rFonts w:asciiTheme="minorHAnsi" w:hAnsiTheme="minorHAnsi"/>
          <w:lang w:eastAsia="en-GB"/>
        </w:rPr>
      </w:pPr>
    </w:p>
    <w:p w14:paraId="7D1AD30D" w14:textId="77777777" w:rsidR="00C97FE5" w:rsidRDefault="00C97FE5" w:rsidP="00C97FE5">
      <w:pPr>
        <w:pStyle w:val="Titolo3"/>
      </w:pPr>
      <w:bookmarkStart w:id="60" w:name="_Toc43722736"/>
      <w:bookmarkStart w:id="61" w:name="_Toc45528389"/>
      <w:r>
        <w:t>Rateizzazione del componente a conguaglio</w:t>
      </w:r>
      <w:bookmarkEnd w:id="60"/>
      <w:bookmarkEnd w:id="61"/>
    </w:p>
    <w:p w14:paraId="091FA6D1" w14:textId="77777777" w:rsidR="00C97FE5" w:rsidRDefault="00C97FE5" w:rsidP="00C97FE5">
      <w:pPr>
        <w:rPr>
          <w:lang w:eastAsia="en-GB"/>
        </w:rPr>
      </w:pPr>
      <w:r>
        <w:rPr>
          <w:lang w:eastAsia="en-GB"/>
        </w:rPr>
        <w:t>L’articolo 2.2 del MTR prevede la determinazione del numero di rate (non superiori a quattro) per il recupero della componente a conguaglio.</w:t>
      </w:r>
    </w:p>
    <w:p w14:paraId="1E4F549A" w14:textId="77777777" w:rsidR="00E15FDD" w:rsidRDefault="00C97FE5" w:rsidP="00C97FE5">
      <w:pPr>
        <w:rPr>
          <w:lang w:eastAsia="en-GB"/>
        </w:rPr>
      </w:pPr>
      <w:r>
        <w:rPr>
          <w:lang w:eastAsia="en-GB"/>
        </w:rPr>
        <w:t xml:space="preserve">L’ente scrivente, pertanto, ha valorizzato a </w:t>
      </w:r>
      <w:r w:rsidR="007B2E8C">
        <w:rPr>
          <w:lang w:eastAsia="en-GB"/>
        </w:rPr>
        <w:t>4</w:t>
      </w:r>
      <w:r>
        <w:rPr>
          <w:lang w:eastAsia="en-GB"/>
        </w:rPr>
        <w:t xml:space="preserve"> le rate atte al recupero della componente a conguaglio</w:t>
      </w:r>
      <w:r w:rsidR="007B2E8C">
        <w:rPr>
          <w:lang w:eastAsia="en-GB"/>
        </w:rPr>
        <w:t>.</w:t>
      </w:r>
    </w:p>
    <w:p w14:paraId="646D6605" w14:textId="77777777" w:rsidR="00C97FE5" w:rsidRDefault="00C97FE5" w:rsidP="00C97FE5">
      <w:pPr>
        <w:autoSpaceDE w:val="0"/>
        <w:autoSpaceDN w:val="0"/>
        <w:adjustRightInd w:val="0"/>
        <w:spacing w:before="0"/>
        <w:rPr>
          <w:rFonts w:asciiTheme="minorHAnsi" w:hAnsiTheme="minorHAnsi"/>
          <w:lang w:eastAsia="en-GB"/>
        </w:rPr>
      </w:pPr>
    </w:p>
    <w:p w14:paraId="53EFB1FF" w14:textId="77777777" w:rsidR="00651A70" w:rsidRDefault="00651A70" w:rsidP="00C97FE5">
      <w:pPr>
        <w:pStyle w:val="Titolo3"/>
      </w:pPr>
      <w:bookmarkStart w:id="62" w:name="_Toc45528390"/>
      <w:r>
        <w:t xml:space="preserve">Metodo di valorizzazione dei </w:t>
      </w:r>
      <w:r w:rsidR="00FD3B3D">
        <w:t xml:space="preserve">contratti di </w:t>
      </w:r>
      <w:r w:rsidRPr="00FD3B3D">
        <w:rPr>
          <w:i/>
        </w:rPr>
        <w:t>leasing</w:t>
      </w:r>
      <w:bookmarkEnd w:id="62"/>
    </w:p>
    <w:p w14:paraId="2D8C57DC" w14:textId="77777777" w:rsidR="00FD3B3D" w:rsidRDefault="00FD3B3D" w:rsidP="00FD3B3D">
      <w:pPr>
        <w:rPr>
          <w:rFonts w:asciiTheme="minorHAnsi" w:hAnsiTheme="minorHAnsi"/>
          <w:lang w:eastAsia="en-GB"/>
        </w:rPr>
      </w:pPr>
      <w:r>
        <w:rPr>
          <w:lang w:eastAsia="en-GB"/>
        </w:rPr>
        <w:t xml:space="preserve">Su proposta del gestore, l’ente acconsente al trattamento dei contratti di </w:t>
      </w:r>
      <w:r w:rsidRPr="00FD3B3D">
        <w:rPr>
          <w:i/>
          <w:iCs/>
          <w:lang w:eastAsia="en-GB"/>
        </w:rPr>
        <w:t>leasing</w:t>
      </w:r>
      <w:r>
        <w:rPr>
          <w:lang w:eastAsia="en-GB"/>
        </w:rPr>
        <w:t xml:space="preserve"> secondo quanto previsto dall’art. 1.11 della determinazione </w:t>
      </w:r>
      <w:r w:rsidR="005E5B05">
        <w:rPr>
          <w:lang w:eastAsia="en-GB"/>
        </w:rPr>
        <w:t>0</w:t>
      </w:r>
      <w:r w:rsidRPr="004C3597">
        <w:rPr>
          <w:rFonts w:asciiTheme="minorHAnsi" w:hAnsiTheme="minorHAnsi"/>
          <w:lang w:eastAsia="en-GB"/>
        </w:rPr>
        <w:t>2/DRIF/2020</w:t>
      </w:r>
      <w:r>
        <w:rPr>
          <w:rFonts w:asciiTheme="minorHAnsi" w:hAnsiTheme="minorHAnsi"/>
          <w:lang w:eastAsia="en-GB"/>
        </w:rPr>
        <w:t xml:space="preserve">, ovvero valorizzando i contratti di </w:t>
      </w:r>
      <w:r w:rsidRPr="00FD3B3D">
        <w:rPr>
          <w:rFonts w:asciiTheme="minorHAnsi" w:hAnsiTheme="minorHAnsi"/>
          <w:i/>
          <w:iCs/>
          <w:lang w:eastAsia="en-GB"/>
        </w:rPr>
        <w:t>leasing</w:t>
      </w:r>
      <w:r>
        <w:rPr>
          <w:rFonts w:asciiTheme="minorHAnsi" w:hAnsiTheme="minorHAnsi"/>
          <w:lang w:eastAsia="en-GB"/>
        </w:rPr>
        <w:t xml:space="preserve"> operativo e </w:t>
      </w:r>
      <w:r w:rsidRPr="00FD3B3D">
        <w:rPr>
          <w:rFonts w:asciiTheme="minorHAnsi" w:hAnsiTheme="minorHAnsi"/>
          <w:i/>
          <w:iCs/>
          <w:lang w:eastAsia="en-GB"/>
        </w:rPr>
        <w:t>leasing</w:t>
      </w:r>
      <w:r>
        <w:rPr>
          <w:rFonts w:asciiTheme="minorHAnsi" w:hAnsiTheme="minorHAnsi"/>
          <w:lang w:eastAsia="en-GB"/>
        </w:rPr>
        <w:t xml:space="preserve"> finanziario nella componente dei costi operativi. </w:t>
      </w:r>
    </w:p>
    <w:p w14:paraId="7C134CB0" w14:textId="77777777" w:rsidR="00FD3B3D" w:rsidRPr="00651A70" w:rsidRDefault="00FD3B3D" w:rsidP="00651A70">
      <w:pPr>
        <w:rPr>
          <w:lang w:eastAsia="en-GB"/>
        </w:rPr>
      </w:pPr>
    </w:p>
    <w:p w14:paraId="0B71FDDE" w14:textId="77777777" w:rsidR="00C03E0B" w:rsidRPr="0028162E" w:rsidRDefault="00C03E0B" w:rsidP="0028162E">
      <w:pPr>
        <w:autoSpaceDE w:val="0"/>
        <w:autoSpaceDN w:val="0"/>
        <w:adjustRightInd w:val="0"/>
        <w:spacing w:before="0"/>
        <w:rPr>
          <w:rFonts w:asciiTheme="minorHAnsi" w:hAnsiTheme="minorHAnsi"/>
          <w:lang w:eastAsia="en-GB"/>
        </w:rPr>
      </w:pPr>
      <w:r w:rsidRPr="0028162E">
        <w:rPr>
          <w:rFonts w:asciiTheme="minorHAnsi" w:hAnsiTheme="minorHAnsi"/>
          <w:lang w:eastAsia="en-GB"/>
        </w:rPr>
        <w:br w:type="page"/>
      </w:r>
    </w:p>
    <w:p w14:paraId="2F24DFED" w14:textId="2AF7612D" w:rsidR="00D42999" w:rsidRDefault="00661786">
      <w:pPr>
        <w:pStyle w:val="Titolo1"/>
        <w:rPr>
          <w:lang w:eastAsia="en-GB"/>
        </w:rPr>
      </w:pPr>
      <w:bookmarkStart w:id="63" w:name="_Toc45528391"/>
      <w:r>
        <w:rPr>
          <w:lang w:eastAsia="en-GB"/>
        </w:rPr>
        <w:lastRenderedPageBreak/>
        <w:t>Allegati</w:t>
      </w:r>
      <w:bookmarkEnd w:id="63"/>
    </w:p>
    <w:tbl>
      <w:tblPr>
        <w:tblStyle w:val="Tabellagriglia1chiara-colore11"/>
        <w:tblW w:w="0" w:type="auto"/>
        <w:tblLook w:val="04A0" w:firstRow="1" w:lastRow="0" w:firstColumn="1" w:lastColumn="0" w:noHBand="0" w:noVBand="1"/>
      </w:tblPr>
      <w:tblGrid>
        <w:gridCol w:w="1413"/>
        <w:gridCol w:w="8215"/>
      </w:tblGrid>
      <w:tr w:rsidR="006664C2" w14:paraId="385FAF87" w14:textId="77777777" w:rsidTr="00666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174707DD" w14:textId="77777777" w:rsidR="006664C2" w:rsidRDefault="006664C2" w:rsidP="00BD22CC">
            <w:pPr>
              <w:rPr>
                <w:lang w:eastAsia="en-GB"/>
              </w:rPr>
            </w:pPr>
            <w:r>
              <w:rPr>
                <w:lang w:eastAsia="en-GB"/>
              </w:rPr>
              <w:t>Allegato</w:t>
            </w:r>
          </w:p>
        </w:tc>
        <w:tc>
          <w:tcPr>
            <w:tcW w:w="8215" w:type="dxa"/>
          </w:tcPr>
          <w:p w14:paraId="1B0560CF" w14:textId="77777777" w:rsidR="006664C2" w:rsidRDefault="006664C2" w:rsidP="00BD22CC">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r>
      <w:tr w:rsidR="006664C2" w:rsidRPr="00EC259E" w14:paraId="7FD4ECD2"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49DDAF13" w14:textId="77777777" w:rsidR="006664C2" w:rsidRPr="00EC259E" w:rsidRDefault="006664C2" w:rsidP="00BD22CC">
            <w:pPr>
              <w:rPr>
                <w:b w:val="0"/>
                <w:bCs w:val="0"/>
                <w:lang w:eastAsia="en-GB"/>
              </w:rPr>
            </w:pPr>
            <w:r w:rsidRPr="00EC259E">
              <w:rPr>
                <w:b w:val="0"/>
                <w:bCs w:val="0"/>
                <w:lang w:eastAsia="en-GB"/>
              </w:rPr>
              <w:t>Allegato 1</w:t>
            </w:r>
          </w:p>
        </w:tc>
        <w:tc>
          <w:tcPr>
            <w:tcW w:w="8215" w:type="dxa"/>
          </w:tcPr>
          <w:p w14:paraId="58924E5B" w14:textId="77777777" w:rsidR="006664C2" w:rsidRPr="00E57B8E"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Piano economico finanziario 2020 (PEF 2020)</w:t>
            </w:r>
          </w:p>
        </w:tc>
      </w:tr>
      <w:tr w:rsidR="006664C2" w:rsidRPr="00EC259E" w14:paraId="2ACF7040"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268E267B" w14:textId="77777777" w:rsidR="006664C2" w:rsidRPr="00EC259E" w:rsidRDefault="006664C2" w:rsidP="00BD22CC">
            <w:pPr>
              <w:rPr>
                <w:b w:val="0"/>
                <w:bCs w:val="0"/>
                <w:lang w:eastAsia="en-GB"/>
              </w:rPr>
            </w:pPr>
            <w:r w:rsidRPr="00EC259E">
              <w:rPr>
                <w:b w:val="0"/>
                <w:bCs w:val="0"/>
                <w:lang w:eastAsia="en-GB"/>
              </w:rPr>
              <w:t>Allegato 2</w:t>
            </w:r>
          </w:p>
        </w:tc>
        <w:tc>
          <w:tcPr>
            <w:tcW w:w="8215" w:type="dxa"/>
          </w:tcPr>
          <w:p w14:paraId="36670FA1" w14:textId="77777777" w:rsidR="006664C2" w:rsidRPr="00E57B8E"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Documento tecnico redatto ai sensi del dPR 158/99, art. 8</w:t>
            </w:r>
          </w:p>
        </w:tc>
      </w:tr>
      <w:tr w:rsidR="006664C2" w:rsidRPr="00EC259E" w14:paraId="46803626"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73121C24" w14:textId="77777777" w:rsidR="006664C2" w:rsidRPr="00EC259E" w:rsidRDefault="006664C2" w:rsidP="00BD22CC">
            <w:pPr>
              <w:rPr>
                <w:b w:val="0"/>
                <w:bCs w:val="0"/>
                <w:lang w:eastAsia="en-GB"/>
              </w:rPr>
            </w:pPr>
            <w:r w:rsidRPr="00EC259E">
              <w:rPr>
                <w:b w:val="0"/>
                <w:bCs w:val="0"/>
                <w:lang w:eastAsia="en-GB"/>
              </w:rPr>
              <w:t>Allegato 3</w:t>
            </w:r>
          </w:p>
        </w:tc>
        <w:tc>
          <w:tcPr>
            <w:tcW w:w="8215" w:type="dxa"/>
          </w:tcPr>
          <w:p w14:paraId="18CE8991" w14:textId="77777777" w:rsidR="006664C2" w:rsidRPr="00C03E0B" w:rsidRDefault="006664C2" w:rsidP="00BD22CC">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Bilancio di esercizio 2017 di CEC</w:t>
            </w:r>
          </w:p>
        </w:tc>
      </w:tr>
      <w:tr w:rsidR="006664C2" w:rsidRPr="00EC259E" w14:paraId="5FB63B79"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3FAA2BAB" w14:textId="77777777" w:rsidR="006664C2" w:rsidRPr="00EC259E" w:rsidRDefault="006664C2" w:rsidP="00BD22CC">
            <w:pPr>
              <w:rPr>
                <w:b w:val="0"/>
                <w:bCs w:val="0"/>
                <w:lang w:eastAsia="en-GB"/>
              </w:rPr>
            </w:pPr>
            <w:r w:rsidRPr="00EC259E">
              <w:rPr>
                <w:b w:val="0"/>
                <w:bCs w:val="0"/>
                <w:lang w:eastAsia="en-GB"/>
              </w:rPr>
              <w:t>Allegato</w:t>
            </w:r>
            <w:r>
              <w:rPr>
                <w:b w:val="0"/>
                <w:bCs w:val="0"/>
                <w:lang w:eastAsia="en-GB"/>
              </w:rPr>
              <w:t xml:space="preserve"> 4</w:t>
            </w:r>
          </w:p>
        </w:tc>
        <w:tc>
          <w:tcPr>
            <w:tcW w:w="8215" w:type="dxa"/>
          </w:tcPr>
          <w:p w14:paraId="7E5A0D1E" w14:textId="77777777" w:rsidR="006664C2" w:rsidRPr="00A53703"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Bilancio di esercizio 2018 di CEC</w:t>
            </w:r>
          </w:p>
        </w:tc>
      </w:tr>
      <w:tr w:rsidR="006664C2" w:rsidRPr="00EC259E" w14:paraId="1A68BD63"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6D14694C" w14:textId="77777777" w:rsidR="006664C2" w:rsidRPr="00EC259E" w:rsidRDefault="006664C2" w:rsidP="00BD22CC">
            <w:pPr>
              <w:rPr>
                <w:b w:val="0"/>
                <w:bCs w:val="0"/>
                <w:lang w:eastAsia="en-GB"/>
              </w:rPr>
            </w:pPr>
            <w:r w:rsidRPr="00EC259E">
              <w:rPr>
                <w:b w:val="0"/>
                <w:bCs w:val="0"/>
                <w:lang w:eastAsia="en-GB"/>
              </w:rPr>
              <w:t>Allegato</w:t>
            </w:r>
            <w:r>
              <w:rPr>
                <w:b w:val="0"/>
                <w:bCs w:val="0"/>
                <w:lang w:eastAsia="en-GB"/>
              </w:rPr>
              <w:t xml:space="preserve"> 5</w:t>
            </w:r>
          </w:p>
        </w:tc>
        <w:tc>
          <w:tcPr>
            <w:tcW w:w="8215" w:type="dxa"/>
          </w:tcPr>
          <w:p w14:paraId="4318685E" w14:textId="77777777" w:rsidR="006664C2" w:rsidRPr="00A53703"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Libro cespiti aggiornato al 31/12/2018 di CEC</w:t>
            </w:r>
          </w:p>
        </w:tc>
      </w:tr>
      <w:tr w:rsidR="006664C2" w:rsidRPr="00EC259E" w14:paraId="18F40A25"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3F362D45" w14:textId="77777777" w:rsidR="006664C2" w:rsidRPr="00EC259E" w:rsidRDefault="006664C2" w:rsidP="00BD22CC">
            <w:pPr>
              <w:rPr>
                <w:b w:val="0"/>
                <w:bCs w:val="0"/>
                <w:lang w:eastAsia="en-GB"/>
              </w:rPr>
            </w:pPr>
            <w:r w:rsidRPr="00EC259E">
              <w:rPr>
                <w:b w:val="0"/>
                <w:bCs w:val="0"/>
                <w:lang w:eastAsia="en-GB"/>
              </w:rPr>
              <w:t>Allegato</w:t>
            </w:r>
            <w:r>
              <w:rPr>
                <w:b w:val="0"/>
                <w:bCs w:val="0"/>
                <w:lang w:eastAsia="en-GB"/>
              </w:rPr>
              <w:t xml:space="preserve"> 6</w:t>
            </w:r>
          </w:p>
        </w:tc>
        <w:tc>
          <w:tcPr>
            <w:tcW w:w="8215" w:type="dxa"/>
          </w:tcPr>
          <w:p w14:paraId="1C7393A6" w14:textId="77777777" w:rsidR="006664C2" w:rsidRPr="00AB5B21"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Gestori</w:t>
            </w:r>
          </w:p>
        </w:tc>
      </w:tr>
      <w:tr w:rsidR="006664C2" w:rsidRPr="00EC259E" w14:paraId="25D19B13"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6535E1D0" w14:textId="77777777" w:rsidR="006664C2" w:rsidRPr="00EC259E" w:rsidRDefault="006664C2" w:rsidP="00BD22CC">
            <w:pPr>
              <w:rPr>
                <w:b w:val="0"/>
                <w:bCs w:val="0"/>
                <w:lang w:eastAsia="en-GB"/>
              </w:rPr>
            </w:pPr>
            <w:r w:rsidRPr="00EC259E">
              <w:rPr>
                <w:b w:val="0"/>
                <w:bCs w:val="0"/>
                <w:lang w:eastAsia="en-GB"/>
              </w:rPr>
              <w:t>Allegato</w:t>
            </w:r>
            <w:r>
              <w:rPr>
                <w:b w:val="0"/>
                <w:bCs w:val="0"/>
                <w:lang w:eastAsia="en-GB"/>
              </w:rPr>
              <w:t xml:space="preserve"> 7</w:t>
            </w:r>
          </w:p>
        </w:tc>
        <w:tc>
          <w:tcPr>
            <w:tcW w:w="8215" w:type="dxa"/>
          </w:tcPr>
          <w:p w14:paraId="5F24E77D" w14:textId="77777777" w:rsidR="006664C2" w:rsidRPr="00AB5B21" w:rsidRDefault="006664C2" w:rsidP="00BD22CC">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Comunali</w:t>
            </w:r>
          </w:p>
        </w:tc>
      </w:tr>
      <w:tr w:rsidR="006664C2" w:rsidRPr="00EC259E" w14:paraId="10EEE585" w14:textId="77777777" w:rsidTr="006664C2">
        <w:tc>
          <w:tcPr>
            <w:cnfStyle w:val="001000000000" w:firstRow="0" w:lastRow="0" w:firstColumn="1" w:lastColumn="0" w:oddVBand="0" w:evenVBand="0" w:oddHBand="0" w:evenHBand="0" w:firstRowFirstColumn="0" w:firstRowLastColumn="0" w:lastRowFirstColumn="0" w:lastRowLastColumn="0"/>
            <w:tcW w:w="1413" w:type="dxa"/>
          </w:tcPr>
          <w:p w14:paraId="7536FA9F" w14:textId="77777777" w:rsidR="006664C2" w:rsidRPr="00EC259E" w:rsidRDefault="006664C2" w:rsidP="00BD22CC">
            <w:pPr>
              <w:rPr>
                <w:b w:val="0"/>
                <w:bCs w:val="0"/>
                <w:lang w:eastAsia="en-GB"/>
              </w:rPr>
            </w:pPr>
            <w:r w:rsidRPr="00EC259E">
              <w:rPr>
                <w:b w:val="0"/>
                <w:bCs w:val="0"/>
                <w:lang w:eastAsia="en-GB"/>
              </w:rPr>
              <w:t xml:space="preserve">Allegato </w:t>
            </w:r>
            <w:r>
              <w:rPr>
                <w:b w:val="0"/>
                <w:bCs w:val="0"/>
                <w:lang w:eastAsia="en-GB"/>
              </w:rPr>
              <w:t>8</w:t>
            </w:r>
          </w:p>
        </w:tc>
        <w:tc>
          <w:tcPr>
            <w:tcW w:w="8215" w:type="dxa"/>
          </w:tcPr>
          <w:p w14:paraId="593993FB" w14:textId="77777777" w:rsidR="006664C2" w:rsidRPr="00C03E0B" w:rsidRDefault="006664C2" w:rsidP="00BD22CC">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Dichiarazione di veridicità di CEC</w:t>
            </w:r>
          </w:p>
        </w:tc>
      </w:tr>
    </w:tbl>
    <w:p w14:paraId="2BA7D1A8" w14:textId="5999E8BC" w:rsidR="00661786" w:rsidRPr="0089248B" w:rsidRDefault="00661786" w:rsidP="003540AD">
      <w:pPr>
        <w:rPr>
          <w:b/>
          <w:lang w:eastAsia="en-GB"/>
        </w:rPr>
      </w:pPr>
    </w:p>
    <w:sectPr w:rsidR="00661786" w:rsidRPr="0089248B">
      <w:footerReference w:type="even" r:id="rId9"/>
      <w:foot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B4565" w14:textId="77777777" w:rsidR="00324C18" w:rsidRDefault="00324C18" w:rsidP="00393406">
      <w:r>
        <w:separator/>
      </w:r>
    </w:p>
  </w:endnote>
  <w:endnote w:type="continuationSeparator" w:id="0">
    <w:p w14:paraId="03B28BCF" w14:textId="77777777" w:rsidR="00324C18" w:rsidRDefault="00324C18"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Math">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7F87" w14:textId="77777777" w:rsidR="00324C18" w:rsidRDefault="00324C18"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6FFE3F5F" w14:textId="77777777" w:rsidR="00324C18" w:rsidRDefault="00324C18"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FA48A" w14:textId="77777777" w:rsidR="00324C18" w:rsidRDefault="00324C18">
    <w:pPr>
      <w:pStyle w:val="Pidipagina"/>
      <w:jc w:val="right"/>
    </w:pPr>
    <w:r>
      <w:fldChar w:fldCharType="begin"/>
    </w:r>
    <w:r>
      <w:instrText>PAGE   \* MERGEFORMAT</w:instrText>
    </w:r>
    <w:r>
      <w:fldChar w:fldCharType="separate"/>
    </w:r>
    <w:r w:rsidRPr="004B55F8">
      <w:rPr>
        <w:noProof/>
        <w:lang w:val="it-IT"/>
      </w:rPr>
      <w:t>11</w:t>
    </w:r>
    <w:r>
      <w:fldChar w:fldCharType="end"/>
    </w:r>
  </w:p>
  <w:p w14:paraId="12E7F709" w14:textId="77777777" w:rsidR="00324C18" w:rsidRDefault="00324C18"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2F538" w14:textId="77777777" w:rsidR="00324C18" w:rsidRDefault="00324C18" w:rsidP="00393406">
      <w:r>
        <w:separator/>
      </w:r>
    </w:p>
  </w:footnote>
  <w:footnote w:type="continuationSeparator" w:id="0">
    <w:p w14:paraId="2EA61BFF" w14:textId="77777777" w:rsidR="00324C18" w:rsidRDefault="00324C18" w:rsidP="00393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2" type="#_x0000_t75" style="width:21pt;height:21pt" o:bullet="t">
        <v:imagedata r:id="rId1" o:title="Punto elenco_1"/>
      </v:shape>
    </w:pict>
  </w:numPicBullet>
  <w:numPicBullet w:numPicBulletId="1">
    <w:pict>
      <v:shape id="_x0000_i1573" type="#_x0000_t75" style="width:21pt;height:21pt" o:bullet="t">
        <v:imagedata r:id="rId2" o:title="Punto elenco_2"/>
      </v:shape>
    </w:pict>
  </w:numPicBullet>
  <w:abstractNum w:abstractNumId="0" w15:restartNumberingAfterBreak="0">
    <w:nsid w:val="01ED04F9"/>
    <w:multiLevelType w:val="hybridMultilevel"/>
    <w:tmpl w:val="CAD848EE"/>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B1203"/>
    <w:multiLevelType w:val="hybridMultilevel"/>
    <w:tmpl w:val="1EB0B1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AF0142"/>
    <w:multiLevelType w:val="hybridMultilevel"/>
    <w:tmpl w:val="E6141E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DE22D4"/>
    <w:multiLevelType w:val="hybridMultilevel"/>
    <w:tmpl w:val="081EDD52"/>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78DF"/>
    <w:multiLevelType w:val="hybridMultilevel"/>
    <w:tmpl w:val="DA92C460"/>
    <w:lvl w:ilvl="0" w:tplc="45287A2A">
      <w:start w:val="1"/>
      <w:numFmt w:val="bullet"/>
      <w:lvlText w:val=""/>
      <w:lvlJc w:val="left"/>
      <w:pPr>
        <w:ind w:left="530" w:hanging="360"/>
      </w:pPr>
      <w:rPr>
        <w:rFonts w:ascii="Symbol" w:hAnsi="Symbol" w:hint="default"/>
        <w:sz w:val="12"/>
        <w:szCs w:val="12"/>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5" w15:restartNumberingAfterBreak="0">
    <w:nsid w:val="20DB3BA5"/>
    <w:multiLevelType w:val="hybridMultilevel"/>
    <w:tmpl w:val="E9DC4BF6"/>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EA6AB1"/>
    <w:multiLevelType w:val="hybridMultilevel"/>
    <w:tmpl w:val="3308137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C93ACA"/>
    <w:multiLevelType w:val="hybridMultilevel"/>
    <w:tmpl w:val="DE1C5B04"/>
    <w:lvl w:ilvl="0" w:tplc="EA1260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962134"/>
    <w:multiLevelType w:val="hybridMultilevel"/>
    <w:tmpl w:val="DF2ADE6C"/>
    <w:lvl w:ilvl="0" w:tplc="EA1260A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9B815AD"/>
    <w:multiLevelType w:val="hybridMultilevel"/>
    <w:tmpl w:val="A024310A"/>
    <w:lvl w:ilvl="0" w:tplc="39F613A8">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24972"/>
    <w:multiLevelType w:val="hybridMultilevel"/>
    <w:tmpl w:val="AFACEC9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91BAA"/>
    <w:multiLevelType w:val="multilevel"/>
    <w:tmpl w:val="C3785856"/>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15:restartNumberingAfterBreak="0">
    <w:nsid w:val="42661105"/>
    <w:multiLevelType w:val="hybridMultilevel"/>
    <w:tmpl w:val="6428EF7C"/>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7861B5"/>
    <w:multiLevelType w:val="hybridMultilevel"/>
    <w:tmpl w:val="6936BD96"/>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4811059F"/>
    <w:multiLevelType w:val="hybridMultilevel"/>
    <w:tmpl w:val="8D28ACD0"/>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C71FAE"/>
    <w:multiLevelType w:val="hybridMultilevel"/>
    <w:tmpl w:val="DD4E85C4"/>
    <w:lvl w:ilvl="0" w:tplc="23980310">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E069D"/>
    <w:multiLevelType w:val="hybridMultilevel"/>
    <w:tmpl w:val="E020BEC2"/>
    <w:lvl w:ilvl="0" w:tplc="23980310">
      <w:start w:val="1"/>
      <w:numFmt w:val="bullet"/>
      <w:lvlText w:val=""/>
      <w:lvlPicBulletId w:val="0"/>
      <w:lvlJc w:val="left"/>
      <w:pPr>
        <w:ind w:left="720" w:hanging="360"/>
      </w:pPr>
      <w:rPr>
        <w:rFonts w:ascii="Symbol" w:hAnsi="Symbol" w:hint="default"/>
        <w:color w:val="auto"/>
      </w:rPr>
    </w:lvl>
    <w:lvl w:ilvl="1" w:tplc="FD3C71B8">
      <w:start w:val="1"/>
      <w:numFmt w:val="bullet"/>
      <w:lvlText w:val=""/>
      <w:lvlPicBulletId w:val="1"/>
      <w:lvlJc w:val="left"/>
      <w:pPr>
        <w:ind w:left="1440" w:hanging="360"/>
      </w:pPr>
      <w:rPr>
        <w:rFonts w:ascii="Symbol" w:hAnsi="Symbol"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E440ED"/>
    <w:multiLevelType w:val="hybridMultilevel"/>
    <w:tmpl w:val="0C4AB4FA"/>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9" w15:restartNumberingAfterBreak="0">
    <w:nsid w:val="682D5C47"/>
    <w:multiLevelType w:val="hybridMultilevel"/>
    <w:tmpl w:val="9802166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F47F80"/>
    <w:multiLevelType w:val="hybridMultilevel"/>
    <w:tmpl w:val="4F82898C"/>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18"/>
  </w:num>
  <w:num w:numId="3">
    <w:abstractNumId w:val="21"/>
  </w:num>
  <w:num w:numId="4">
    <w:abstractNumId w:val="19"/>
  </w:num>
  <w:num w:numId="5">
    <w:abstractNumId w:val="9"/>
  </w:num>
  <w:num w:numId="6">
    <w:abstractNumId w:val="15"/>
  </w:num>
  <w:num w:numId="7">
    <w:abstractNumId w:val="16"/>
  </w:num>
  <w:num w:numId="8">
    <w:abstractNumId w:val="1"/>
  </w:num>
  <w:num w:numId="9">
    <w:abstractNumId w:val="6"/>
  </w:num>
  <w:num w:numId="10">
    <w:abstractNumId w:val="17"/>
  </w:num>
  <w:num w:numId="11">
    <w:abstractNumId w:val="0"/>
  </w:num>
  <w:num w:numId="12">
    <w:abstractNumId w:val="14"/>
  </w:num>
  <w:num w:numId="13">
    <w:abstractNumId w:val="10"/>
  </w:num>
  <w:num w:numId="14">
    <w:abstractNumId w:val="20"/>
  </w:num>
  <w:num w:numId="15">
    <w:abstractNumId w:val="13"/>
  </w:num>
  <w:num w:numId="16">
    <w:abstractNumId w:val="3"/>
  </w:num>
  <w:num w:numId="17">
    <w:abstractNumId w:val="5"/>
  </w:num>
  <w:num w:numId="18">
    <w:abstractNumId w:val="4"/>
  </w:num>
  <w:num w:numId="19">
    <w:abstractNumId w:val="12"/>
  </w:num>
  <w:num w:numId="20">
    <w:abstractNumId w:val="2"/>
  </w:num>
  <w:num w:numId="21">
    <w:abstractNumId w:val="7"/>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281"/>
    <w:rsid w:val="00000BF5"/>
    <w:rsid w:val="00001870"/>
    <w:rsid w:val="00002912"/>
    <w:rsid w:val="00004B7D"/>
    <w:rsid w:val="000061DE"/>
    <w:rsid w:val="00006B45"/>
    <w:rsid w:val="00021F42"/>
    <w:rsid w:val="00026264"/>
    <w:rsid w:val="00030CD1"/>
    <w:rsid w:val="00033386"/>
    <w:rsid w:val="00036391"/>
    <w:rsid w:val="00040587"/>
    <w:rsid w:val="0004185F"/>
    <w:rsid w:val="000452C0"/>
    <w:rsid w:val="0004534F"/>
    <w:rsid w:val="00046F08"/>
    <w:rsid w:val="000543FF"/>
    <w:rsid w:val="00054A95"/>
    <w:rsid w:val="00056267"/>
    <w:rsid w:val="0005635A"/>
    <w:rsid w:val="0005675A"/>
    <w:rsid w:val="00056D89"/>
    <w:rsid w:val="00067AE9"/>
    <w:rsid w:val="00070AEF"/>
    <w:rsid w:val="000725C5"/>
    <w:rsid w:val="000759EF"/>
    <w:rsid w:val="00076547"/>
    <w:rsid w:val="000767C1"/>
    <w:rsid w:val="000800C5"/>
    <w:rsid w:val="000853C7"/>
    <w:rsid w:val="00086AB8"/>
    <w:rsid w:val="00090F95"/>
    <w:rsid w:val="000A4113"/>
    <w:rsid w:val="000A5230"/>
    <w:rsid w:val="000B7281"/>
    <w:rsid w:val="000D148E"/>
    <w:rsid w:val="000D19BD"/>
    <w:rsid w:val="000D1A64"/>
    <w:rsid w:val="000D1EA9"/>
    <w:rsid w:val="000D5362"/>
    <w:rsid w:val="000E01D1"/>
    <w:rsid w:val="000E1852"/>
    <w:rsid w:val="000F1EED"/>
    <w:rsid w:val="000F386E"/>
    <w:rsid w:val="000F47F0"/>
    <w:rsid w:val="000F5A01"/>
    <w:rsid w:val="00100211"/>
    <w:rsid w:val="00102D1A"/>
    <w:rsid w:val="00105C6A"/>
    <w:rsid w:val="00120500"/>
    <w:rsid w:val="001246DE"/>
    <w:rsid w:val="00126F24"/>
    <w:rsid w:val="00131398"/>
    <w:rsid w:val="00131C05"/>
    <w:rsid w:val="00136456"/>
    <w:rsid w:val="001423C5"/>
    <w:rsid w:val="0014582D"/>
    <w:rsid w:val="001460F6"/>
    <w:rsid w:val="001539C8"/>
    <w:rsid w:val="00155386"/>
    <w:rsid w:val="00170B72"/>
    <w:rsid w:val="001727F8"/>
    <w:rsid w:val="00177E5F"/>
    <w:rsid w:val="001829D6"/>
    <w:rsid w:val="00190B41"/>
    <w:rsid w:val="00191492"/>
    <w:rsid w:val="00191716"/>
    <w:rsid w:val="00196EBB"/>
    <w:rsid w:val="001A1508"/>
    <w:rsid w:val="001A2E02"/>
    <w:rsid w:val="001A571F"/>
    <w:rsid w:val="001A6658"/>
    <w:rsid w:val="001B48E5"/>
    <w:rsid w:val="001B71DB"/>
    <w:rsid w:val="001B752C"/>
    <w:rsid w:val="001C58C7"/>
    <w:rsid w:val="001D0993"/>
    <w:rsid w:val="001D7943"/>
    <w:rsid w:val="001E34D3"/>
    <w:rsid w:val="001E43AA"/>
    <w:rsid w:val="001E4BFE"/>
    <w:rsid w:val="001E6AF2"/>
    <w:rsid w:val="00203904"/>
    <w:rsid w:val="0020434C"/>
    <w:rsid w:val="00207EFB"/>
    <w:rsid w:val="00210755"/>
    <w:rsid w:val="002158D0"/>
    <w:rsid w:val="00215F27"/>
    <w:rsid w:val="00224082"/>
    <w:rsid w:val="002262E7"/>
    <w:rsid w:val="002264FD"/>
    <w:rsid w:val="00230F24"/>
    <w:rsid w:val="00231194"/>
    <w:rsid w:val="002311C4"/>
    <w:rsid w:val="00233E44"/>
    <w:rsid w:val="002350B7"/>
    <w:rsid w:val="00257ECD"/>
    <w:rsid w:val="0026283A"/>
    <w:rsid w:val="00265513"/>
    <w:rsid w:val="00266B58"/>
    <w:rsid w:val="00276D6D"/>
    <w:rsid w:val="0028162E"/>
    <w:rsid w:val="00285DFC"/>
    <w:rsid w:val="0029232F"/>
    <w:rsid w:val="00292926"/>
    <w:rsid w:val="002975D7"/>
    <w:rsid w:val="002B19B3"/>
    <w:rsid w:val="002B703E"/>
    <w:rsid w:val="002B7F53"/>
    <w:rsid w:val="002C10AE"/>
    <w:rsid w:val="002C206A"/>
    <w:rsid w:val="002C63A1"/>
    <w:rsid w:val="002C77B6"/>
    <w:rsid w:val="002D0A72"/>
    <w:rsid w:val="002D2FC5"/>
    <w:rsid w:val="002D332F"/>
    <w:rsid w:val="002D455F"/>
    <w:rsid w:val="002D7B60"/>
    <w:rsid w:val="002D7D1D"/>
    <w:rsid w:val="002E4353"/>
    <w:rsid w:val="002E513A"/>
    <w:rsid w:val="002E7D4E"/>
    <w:rsid w:val="002F063E"/>
    <w:rsid w:val="002F435B"/>
    <w:rsid w:val="002F5AA0"/>
    <w:rsid w:val="00305479"/>
    <w:rsid w:val="00306025"/>
    <w:rsid w:val="003119A8"/>
    <w:rsid w:val="0031673A"/>
    <w:rsid w:val="003201F0"/>
    <w:rsid w:val="00322EBB"/>
    <w:rsid w:val="00324C18"/>
    <w:rsid w:val="00335260"/>
    <w:rsid w:val="00336035"/>
    <w:rsid w:val="0034191C"/>
    <w:rsid w:val="00341C10"/>
    <w:rsid w:val="003452D3"/>
    <w:rsid w:val="0034669D"/>
    <w:rsid w:val="003502AE"/>
    <w:rsid w:val="00350707"/>
    <w:rsid w:val="00352AC0"/>
    <w:rsid w:val="003540AD"/>
    <w:rsid w:val="00356C90"/>
    <w:rsid w:val="00357082"/>
    <w:rsid w:val="00357973"/>
    <w:rsid w:val="00360564"/>
    <w:rsid w:val="00361963"/>
    <w:rsid w:val="0036472B"/>
    <w:rsid w:val="00366E3B"/>
    <w:rsid w:val="00367D0D"/>
    <w:rsid w:val="00374317"/>
    <w:rsid w:val="003750ED"/>
    <w:rsid w:val="003771FA"/>
    <w:rsid w:val="00380162"/>
    <w:rsid w:val="00385EC1"/>
    <w:rsid w:val="003928D5"/>
    <w:rsid w:val="00393406"/>
    <w:rsid w:val="003A7F1F"/>
    <w:rsid w:val="003B39C0"/>
    <w:rsid w:val="003B7AE7"/>
    <w:rsid w:val="003C2791"/>
    <w:rsid w:val="003C389B"/>
    <w:rsid w:val="003C3BA0"/>
    <w:rsid w:val="003D115F"/>
    <w:rsid w:val="003D1603"/>
    <w:rsid w:val="003D1A8F"/>
    <w:rsid w:val="003E17B7"/>
    <w:rsid w:val="003E2AEF"/>
    <w:rsid w:val="003E336F"/>
    <w:rsid w:val="003E5F2F"/>
    <w:rsid w:val="003F03B4"/>
    <w:rsid w:val="003F0AC8"/>
    <w:rsid w:val="003F0BF9"/>
    <w:rsid w:val="003F1852"/>
    <w:rsid w:val="003F27C6"/>
    <w:rsid w:val="00400311"/>
    <w:rsid w:val="0041125D"/>
    <w:rsid w:val="00412090"/>
    <w:rsid w:val="004128A5"/>
    <w:rsid w:val="00415E03"/>
    <w:rsid w:val="004176F8"/>
    <w:rsid w:val="00422103"/>
    <w:rsid w:val="00423EAF"/>
    <w:rsid w:val="00424220"/>
    <w:rsid w:val="00424712"/>
    <w:rsid w:val="004248AF"/>
    <w:rsid w:val="00425690"/>
    <w:rsid w:val="004258AF"/>
    <w:rsid w:val="00427E19"/>
    <w:rsid w:val="00430711"/>
    <w:rsid w:val="00432985"/>
    <w:rsid w:val="00450B82"/>
    <w:rsid w:val="00453958"/>
    <w:rsid w:val="004638A7"/>
    <w:rsid w:val="00463FF5"/>
    <w:rsid w:val="0047253D"/>
    <w:rsid w:val="00473A5C"/>
    <w:rsid w:val="004743D5"/>
    <w:rsid w:val="0047461F"/>
    <w:rsid w:val="004778CA"/>
    <w:rsid w:val="0048384D"/>
    <w:rsid w:val="00491E2C"/>
    <w:rsid w:val="00492653"/>
    <w:rsid w:val="004A764A"/>
    <w:rsid w:val="004A77C6"/>
    <w:rsid w:val="004B2D5E"/>
    <w:rsid w:val="004B3104"/>
    <w:rsid w:val="004B3885"/>
    <w:rsid w:val="004B450E"/>
    <w:rsid w:val="004B55F8"/>
    <w:rsid w:val="004C327F"/>
    <w:rsid w:val="004C3597"/>
    <w:rsid w:val="004D1106"/>
    <w:rsid w:val="004D615C"/>
    <w:rsid w:val="004D6DFC"/>
    <w:rsid w:val="004E3C73"/>
    <w:rsid w:val="004E790D"/>
    <w:rsid w:val="004F0840"/>
    <w:rsid w:val="004F0C45"/>
    <w:rsid w:val="004F5029"/>
    <w:rsid w:val="004F62BE"/>
    <w:rsid w:val="004F6CFF"/>
    <w:rsid w:val="0050418C"/>
    <w:rsid w:val="0051002B"/>
    <w:rsid w:val="00511CCF"/>
    <w:rsid w:val="00512D0D"/>
    <w:rsid w:val="00517144"/>
    <w:rsid w:val="00521085"/>
    <w:rsid w:val="005316ED"/>
    <w:rsid w:val="0053306C"/>
    <w:rsid w:val="0054351D"/>
    <w:rsid w:val="00543E59"/>
    <w:rsid w:val="00545781"/>
    <w:rsid w:val="00560303"/>
    <w:rsid w:val="00564F24"/>
    <w:rsid w:val="00571257"/>
    <w:rsid w:val="00572EFF"/>
    <w:rsid w:val="005732FB"/>
    <w:rsid w:val="00577D77"/>
    <w:rsid w:val="0058338E"/>
    <w:rsid w:val="00583CE5"/>
    <w:rsid w:val="0058498D"/>
    <w:rsid w:val="005932C0"/>
    <w:rsid w:val="00594C60"/>
    <w:rsid w:val="00596B68"/>
    <w:rsid w:val="005A0221"/>
    <w:rsid w:val="005A0A04"/>
    <w:rsid w:val="005A2E7B"/>
    <w:rsid w:val="005A34D6"/>
    <w:rsid w:val="005B0E7C"/>
    <w:rsid w:val="005B1A27"/>
    <w:rsid w:val="005B21A5"/>
    <w:rsid w:val="005C4405"/>
    <w:rsid w:val="005D58A8"/>
    <w:rsid w:val="005D6F6A"/>
    <w:rsid w:val="005E506A"/>
    <w:rsid w:val="005E5AA2"/>
    <w:rsid w:val="005E5B05"/>
    <w:rsid w:val="005F11BE"/>
    <w:rsid w:val="005F5FA5"/>
    <w:rsid w:val="00604A93"/>
    <w:rsid w:val="0061707F"/>
    <w:rsid w:val="00622307"/>
    <w:rsid w:val="00624383"/>
    <w:rsid w:val="00627ECF"/>
    <w:rsid w:val="00647E25"/>
    <w:rsid w:val="00651A70"/>
    <w:rsid w:val="006563D7"/>
    <w:rsid w:val="0065768A"/>
    <w:rsid w:val="00661786"/>
    <w:rsid w:val="00664696"/>
    <w:rsid w:val="006664C2"/>
    <w:rsid w:val="00680ED8"/>
    <w:rsid w:val="00681C09"/>
    <w:rsid w:val="00690D36"/>
    <w:rsid w:val="00695C7C"/>
    <w:rsid w:val="006A1C69"/>
    <w:rsid w:val="006A5C41"/>
    <w:rsid w:val="006B047F"/>
    <w:rsid w:val="006B0546"/>
    <w:rsid w:val="006B0FCC"/>
    <w:rsid w:val="006B3484"/>
    <w:rsid w:val="006B5E15"/>
    <w:rsid w:val="006B7464"/>
    <w:rsid w:val="006C17C1"/>
    <w:rsid w:val="006C2EA8"/>
    <w:rsid w:val="006C2F61"/>
    <w:rsid w:val="006C6A89"/>
    <w:rsid w:val="006D3E1A"/>
    <w:rsid w:val="006D63F9"/>
    <w:rsid w:val="006D7090"/>
    <w:rsid w:val="006D7FFD"/>
    <w:rsid w:val="006F2B20"/>
    <w:rsid w:val="006F4C30"/>
    <w:rsid w:val="00702312"/>
    <w:rsid w:val="007105D4"/>
    <w:rsid w:val="00721A23"/>
    <w:rsid w:val="0072379A"/>
    <w:rsid w:val="00724B46"/>
    <w:rsid w:val="00731F4E"/>
    <w:rsid w:val="00741B01"/>
    <w:rsid w:val="00743204"/>
    <w:rsid w:val="00744D3D"/>
    <w:rsid w:val="00753802"/>
    <w:rsid w:val="0075480F"/>
    <w:rsid w:val="00755CDE"/>
    <w:rsid w:val="007566D1"/>
    <w:rsid w:val="0076048A"/>
    <w:rsid w:val="0076552F"/>
    <w:rsid w:val="00766113"/>
    <w:rsid w:val="007671EF"/>
    <w:rsid w:val="0077334E"/>
    <w:rsid w:val="00773DFA"/>
    <w:rsid w:val="00781D26"/>
    <w:rsid w:val="007863B0"/>
    <w:rsid w:val="007873E6"/>
    <w:rsid w:val="007904DD"/>
    <w:rsid w:val="0079684B"/>
    <w:rsid w:val="007A1B60"/>
    <w:rsid w:val="007A1F1C"/>
    <w:rsid w:val="007A2157"/>
    <w:rsid w:val="007A3B20"/>
    <w:rsid w:val="007A5CD3"/>
    <w:rsid w:val="007B2E8C"/>
    <w:rsid w:val="007B3217"/>
    <w:rsid w:val="007B37A3"/>
    <w:rsid w:val="007B596F"/>
    <w:rsid w:val="007B5F51"/>
    <w:rsid w:val="007B66E6"/>
    <w:rsid w:val="007C7DBC"/>
    <w:rsid w:val="007D1568"/>
    <w:rsid w:val="007D58E4"/>
    <w:rsid w:val="007E2CA0"/>
    <w:rsid w:val="007F1830"/>
    <w:rsid w:val="007F4EA1"/>
    <w:rsid w:val="007F5D51"/>
    <w:rsid w:val="008035F0"/>
    <w:rsid w:val="00804288"/>
    <w:rsid w:val="00804F1B"/>
    <w:rsid w:val="00806E6E"/>
    <w:rsid w:val="00815315"/>
    <w:rsid w:val="0082449A"/>
    <w:rsid w:val="00824EF7"/>
    <w:rsid w:val="00826EFA"/>
    <w:rsid w:val="00827472"/>
    <w:rsid w:val="00827EA2"/>
    <w:rsid w:val="00830432"/>
    <w:rsid w:val="00832064"/>
    <w:rsid w:val="00834381"/>
    <w:rsid w:val="00834914"/>
    <w:rsid w:val="00834FEF"/>
    <w:rsid w:val="00835A82"/>
    <w:rsid w:val="00843753"/>
    <w:rsid w:val="00844062"/>
    <w:rsid w:val="008448D3"/>
    <w:rsid w:val="008457F1"/>
    <w:rsid w:val="008571FF"/>
    <w:rsid w:val="00857DED"/>
    <w:rsid w:val="00860B3A"/>
    <w:rsid w:val="00863FBB"/>
    <w:rsid w:val="00864DB9"/>
    <w:rsid w:val="008701AB"/>
    <w:rsid w:val="008745E6"/>
    <w:rsid w:val="00875969"/>
    <w:rsid w:val="00877340"/>
    <w:rsid w:val="00882687"/>
    <w:rsid w:val="00882A18"/>
    <w:rsid w:val="008846AF"/>
    <w:rsid w:val="00885AB9"/>
    <w:rsid w:val="00890000"/>
    <w:rsid w:val="0089248B"/>
    <w:rsid w:val="00892FDC"/>
    <w:rsid w:val="00896FD6"/>
    <w:rsid w:val="008A28A8"/>
    <w:rsid w:val="008B21A3"/>
    <w:rsid w:val="008B3477"/>
    <w:rsid w:val="008B3C56"/>
    <w:rsid w:val="008C2599"/>
    <w:rsid w:val="008D7531"/>
    <w:rsid w:val="008E6667"/>
    <w:rsid w:val="008F49AE"/>
    <w:rsid w:val="008F51F1"/>
    <w:rsid w:val="00900847"/>
    <w:rsid w:val="009020D7"/>
    <w:rsid w:val="009176BB"/>
    <w:rsid w:val="00926451"/>
    <w:rsid w:val="009302E6"/>
    <w:rsid w:val="00931CA4"/>
    <w:rsid w:val="00940693"/>
    <w:rsid w:val="009471D9"/>
    <w:rsid w:val="0096048D"/>
    <w:rsid w:val="00960951"/>
    <w:rsid w:val="00965FF1"/>
    <w:rsid w:val="00967005"/>
    <w:rsid w:val="0097270A"/>
    <w:rsid w:val="00977F68"/>
    <w:rsid w:val="00980664"/>
    <w:rsid w:val="009852CB"/>
    <w:rsid w:val="009856C3"/>
    <w:rsid w:val="009860B7"/>
    <w:rsid w:val="00986AB1"/>
    <w:rsid w:val="00986F4A"/>
    <w:rsid w:val="00990013"/>
    <w:rsid w:val="009926DE"/>
    <w:rsid w:val="00993763"/>
    <w:rsid w:val="009A2F02"/>
    <w:rsid w:val="009A54E3"/>
    <w:rsid w:val="009A71F5"/>
    <w:rsid w:val="009A7603"/>
    <w:rsid w:val="009B097F"/>
    <w:rsid w:val="009B5C2B"/>
    <w:rsid w:val="009C3699"/>
    <w:rsid w:val="009D0024"/>
    <w:rsid w:val="009F11A5"/>
    <w:rsid w:val="009F2128"/>
    <w:rsid w:val="009F2969"/>
    <w:rsid w:val="009F3C31"/>
    <w:rsid w:val="009F520D"/>
    <w:rsid w:val="009F776B"/>
    <w:rsid w:val="00A0009F"/>
    <w:rsid w:val="00A01BF4"/>
    <w:rsid w:val="00A04A5B"/>
    <w:rsid w:val="00A07602"/>
    <w:rsid w:val="00A10684"/>
    <w:rsid w:val="00A1391F"/>
    <w:rsid w:val="00A140D0"/>
    <w:rsid w:val="00A2161F"/>
    <w:rsid w:val="00A23EFC"/>
    <w:rsid w:val="00A25125"/>
    <w:rsid w:val="00A264D1"/>
    <w:rsid w:val="00A32F56"/>
    <w:rsid w:val="00A345A3"/>
    <w:rsid w:val="00A35306"/>
    <w:rsid w:val="00A406BE"/>
    <w:rsid w:val="00A42E52"/>
    <w:rsid w:val="00A43611"/>
    <w:rsid w:val="00A4516A"/>
    <w:rsid w:val="00A46639"/>
    <w:rsid w:val="00A51105"/>
    <w:rsid w:val="00A523CB"/>
    <w:rsid w:val="00A53594"/>
    <w:rsid w:val="00A62182"/>
    <w:rsid w:val="00A64515"/>
    <w:rsid w:val="00A71CEE"/>
    <w:rsid w:val="00A71FEB"/>
    <w:rsid w:val="00A73718"/>
    <w:rsid w:val="00A743B1"/>
    <w:rsid w:val="00A74D97"/>
    <w:rsid w:val="00A76508"/>
    <w:rsid w:val="00A76A77"/>
    <w:rsid w:val="00A80300"/>
    <w:rsid w:val="00A8111F"/>
    <w:rsid w:val="00A82105"/>
    <w:rsid w:val="00A87AC8"/>
    <w:rsid w:val="00A90C24"/>
    <w:rsid w:val="00A90E84"/>
    <w:rsid w:val="00A94169"/>
    <w:rsid w:val="00A94BD8"/>
    <w:rsid w:val="00AA12F2"/>
    <w:rsid w:val="00AA1BDF"/>
    <w:rsid w:val="00AB0B2C"/>
    <w:rsid w:val="00AB1A3D"/>
    <w:rsid w:val="00AB5CF6"/>
    <w:rsid w:val="00AC1EF6"/>
    <w:rsid w:val="00AC6DDC"/>
    <w:rsid w:val="00AC7077"/>
    <w:rsid w:val="00AD167B"/>
    <w:rsid w:val="00AE0EDC"/>
    <w:rsid w:val="00AE3360"/>
    <w:rsid w:val="00AE47BD"/>
    <w:rsid w:val="00AF2C06"/>
    <w:rsid w:val="00AF36E2"/>
    <w:rsid w:val="00AF7733"/>
    <w:rsid w:val="00B028E7"/>
    <w:rsid w:val="00B049D5"/>
    <w:rsid w:val="00B111E9"/>
    <w:rsid w:val="00B127DE"/>
    <w:rsid w:val="00B200DE"/>
    <w:rsid w:val="00B2655F"/>
    <w:rsid w:val="00B309E0"/>
    <w:rsid w:val="00B30DD0"/>
    <w:rsid w:val="00B329FE"/>
    <w:rsid w:val="00B33C6B"/>
    <w:rsid w:val="00B360B6"/>
    <w:rsid w:val="00B36E5D"/>
    <w:rsid w:val="00B400BB"/>
    <w:rsid w:val="00B40AB5"/>
    <w:rsid w:val="00B47497"/>
    <w:rsid w:val="00B50532"/>
    <w:rsid w:val="00B6594A"/>
    <w:rsid w:val="00B74DAB"/>
    <w:rsid w:val="00B74DD7"/>
    <w:rsid w:val="00B94495"/>
    <w:rsid w:val="00B96095"/>
    <w:rsid w:val="00BA1556"/>
    <w:rsid w:val="00BA7123"/>
    <w:rsid w:val="00BB27B8"/>
    <w:rsid w:val="00BB727A"/>
    <w:rsid w:val="00BC0287"/>
    <w:rsid w:val="00BC409F"/>
    <w:rsid w:val="00BD22CC"/>
    <w:rsid w:val="00BD344F"/>
    <w:rsid w:val="00BD4986"/>
    <w:rsid w:val="00BE4CF4"/>
    <w:rsid w:val="00BE745D"/>
    <w:rsid w:val="00BF387A"/>
    <w:rsid w:val="00BF5120"/>
    <w:rsid w:val="00BF5FFB"/>
    <w:rsid w:val="00C01382"/>
    <w:rsid w:val="00C0236B"/>
    <w:rsid w:val="00C03690"/>
    <w:rsid w:val="00C03E0B"/>
    <w:rsid w:val="00C05A3D"/>
    <w:rsid w:val="00C062C7"/>
    <w:rsid w:val="00C06499"/>
    <w:rsid w:val="00C11C73"/>
    <w:rsid w:val="00C11EBD"/>
    <w:rsid w:val="00C176CF"/>
    <w:rsid w:val="00C2229B"/>
    <w:rsid w:val="00C245BB"/>
    <w:rsid w:val="00C25BAD"/>
    <w:rsid w:val="00C3066D"/>
    <w:rsid w:val="00C33520"/>
    <w:rsid w:val="00C3542E"/>
    <w:rsid w:val="00C40DBF"/>
    <w:rsid w:val="00C42079"/>
    <w:rsid w:val="00C425D1"/>
    <w:rsid w:val="00C44673"/>
    <w:rsid w:val="00C46BCE"/>
    <w:rsid w:val="00C50B00"/>
    <w:rsid w:val="00C54253"/>
    <w:rsid w:val="00C62064"/>
    <w:rsid w:val="00C633FB"/>
    <w:rsid w:val="00C650A6"/>
    <w:rsid w:val="00C67D73"/>
    <w:rsid w:val="00C76337"/>
    <w:rsid w:val="00C81B7D"/>
    <w:rsid w:val="00C878D6"/>
    <w:rsid w:val="00C87E4E"/>
    <w:rsid w:val="00C97FE5"/>
    <w:rsid w:val="00CA3CEF"/>
    <w:rsid w:val="00CA5223"/>
    <w:rsid w:val="00CA75F4"/>
    <w:rsid w:val="00CB01B3"/>
    <w:rsid w:val="00CB19B5"/>
    <w:rsid w:val="00CB58A3"/>
    <w:rsid w:val="00CB61BC"/>
    <w:rsid w:val="00CC09E4"/>
    <w:rsid w:val="00CC5E0E"/>
    <w:rsid w:val="00CC6CB4"/>
    <w:rsid w:val="00CD0730"/>
    <w:rsid w:val="00CD2FED"/>
    <w:rsid w:val="00CD5387"/>
    <w:rsid w:val="00CD638B"/>
    <w:rsid w:val="00CD776B"/>
    <w:rsid w:val="00CE7164"/>
    <w:rsid w:val="00CF3168"/>
    <w:rsid w:val="00CF70E7"/>
    <w:rsid w:val="00D0367A"/>
    <w:rsid w:val="00D03DD2"/>
    <w:rsid w:val="00D042C9"/>
    <w:rsid w:val="00D05826"/>
    <w:rsid w:val="00D0632D"/>
    <w:rsid w:val="00D07414"/>
    <w:rsid w:val="00D079D2"/>
    <w:rsid w:val="00D10B75"/>
    <w:rsid w:val="00D10D10"/>
    <w:rsid w:val="00D21155"/>
    <w:rsid w:val="00D2655E"/>
    <w:rsid w:val="00D27C9B"/>
    <w:rsid w:val="00D42999"/>
    <w:rsid w:val="00D477AA"/>
    <w:rsid w:val="00D50364"/>
    <w:rsid w:val="00D512AC"/>
    <w:rsid w:val="00D5325D"/>
    <w:rsid w:val="00D542CE"/>
    <w:rsid w:val="00D548E6"/>
    <w:rsid w:val="00D602C9"/>
    <w:rsid w:val="00D70061"/>
    <w:rsid w:val="00D91639"/>
    <w:rsid w:val="00D9439A"/>
    <w:rsid w:val="00D94EE4"/>
    <w:rsid w:val="00DA1534"/>
    <w:rsid w:val="00DA1AA2"/>
    <w:rsid w:val="00DA3A7C"/>
    <w:rsid w:val="00DA73F4"/>
    <w:rsid w:val="00DB264B"/>
    <w:rsid w:val="00DB46B1"/>
    <w:rsid w:val="00DC20DE"/>
    <w:rsid w:val="00DC282F"/>
    <w:rsid w:val="00DC4A89"/>
    <w:rsid w:val="00DD0FC4"/>
    <w:rsid w:val="00DD205A"/>
    <w:rsid w:val="00DD6488"/>
    <w:rsid w:val="00DD7DE9"/>
    <w:rsid w:val="00DE348D"/>
    <w:rsid w:val="00DE398B"/>
    <w:rsid w:val="00DE7517"/>
    <w:rsid w:val="00DF4A6C"/>
    <w:rsid w:val="00DF4B3B"/>
    <w:rsid w:val="00E01434"/>
    <w:rsid w:val="00E02D18"/>
    <w:rsid w:val="00E02DEF"/>
    <w:rsid w:val="00E0319D"/>
    <w:rsid w:val="00E13C77"/>
    <w:rsid w:val="00E15FDD"/>
    <w:rsid w:val="00E22480"/>
    <w:rsid w:val="00E2390C"/>
    <w:rsid w:val="00E270ED"/>
    <w:rsid w:val="00E27740"/>
    <w:rsid w:val="00E32F1E"/>
    <w:rsid w:val="00E36E74"/>
    <w:rsid w:val="00E40720"/>
    <w:rsid w:val="00E44947"/>
    <w:rsid w:val="00E450FF"/>
    <w:rsid w:val="00E5128B"/>
    <w:rsid w:val="00E57B8E"/>
    <w:rsid w:val="00E624B3"/>
    <w:rsid w:val="00E624CC"/>
    <w:rsid w:val="00E673CE"/>
    <w:rsid w:val="00E718F5"/>
    <w:rsid w:val="00E72501"/>
    <w:rsid w:val="00E73551"/>
    <w:rsid w:val="00E837DB"/>
    <w:rsid w:val="00E83AE0"/>
    <w:rsid w:val="00E87D1F"/>
    <w:rsid w:val="00E921ED"/>
    <w:rsid w:val="00EA2C9A"/>
    <w:rsid w:val="00EA3FEF"/>
    <w:rsid w:val="00EA625A"/>
    <w:rsid w:val="00EB3382"/>
    <w:rsid w:val="00EB6497"/>
    <w:rsid w:val="00EC259E"/>
    <w:rsid w:val="00EC267A"/>
    <w:rsid w:val="00EC28E1"/>
    <w:rsid w:val="00EC2F47"/>
    <w:rsid w:val="00ED351E"/>
    <w:rsid w:val="00EE1898"/>
    <w:rsid w:val="00EE65A4"/>
    <w:rsid w:val="00EF0861"/>
    <w:rsid w:val="00EF2D6E"/>
    <w:rsid w:val="00EF3865"/>
    <w:rsid w:val="00F02CC5"/>
    <w:rsid w:val="00F05C5C"/>
    <w:rsid w:val="00F05C7F"/>
    <w:rsid w:val="00F113E1"/>
    <w:rsid w:val="00F13E1C"/>
    <w:rsid w:val="00F13FD6"/>
    <w:rsid w:val="00F16975"/>
    <w:rsid w:val="00F21028"/>
    <w:rsid w:val="00F22353"/>
    <w:rsid w:val="00F27D51"/>
    <w:rsid w:val="00F30BBB"/>
    <w:rsid w:val="00F36D04"/>
    <w:rsid w:val="00F422E9"/>
    <w:rsid w:val="00F42C27"/>
    <w:rsid w:val="00F50F6A"/>
    <w:rsid w:val="00F52401"/>
    <w:rsid w:val="00F531B7"/>
    <w:rsid w:val="00F605CC"/>
    <w:rsid w:val="00F613AA"/>
    <w:rsid w:val="00F62288"/>
    <w:rsid w:val="00F6614E"/>
    <w:rsid w:val="00F71EFD"/>
    <w:rsid w:val="00F72EBF"/>
    <w:rsid w:val="00F75248"/>
    <w:rsid w:val="00F81ABB"/>
    <w:rsid w:val="00F84099"/>
    <w:rsid w:val="00F8672B"/>
    <w:rsid w:val="00FA31A2"/>
    <w:rsid w:val="00FB0F8F"/>
    <w:rsid w:val="00FB42D6"/>
    <w:rsid w:val="00FC01CE"/>
    <w:rsid w:val="00FC0496"/>
    <w:rsid w:val="00FC3013"/>
    <w:rsid w:val="00FC58A4"/>
    <w:rsid w:val="00FD2364"/>
    <w:rsid w:val="00FD3B3D"/>
    <w:rsid w:val="00FE0815"/>
    <w:rsid w:val="00FE0A8E"/>
    <w:rsid w:val="00FE46E1"/>
    <w:rsid w:val="00FE4716"/>
    <w:rsid w:val="00FF05E4"/>
    <w:rsid w:val="00FF0791"/>
    <w:rsid w:val="00FF0A1F"/>
    <w:rsid w:val="00FF0FBB"/>
    <w:rsid w:val="00FF252B"/>
    <w:rsid w:val="00FF2945"/>
    <w:rsid w:val="00FF48BD"/>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2F59312"/>
  <w15:docId w15:val="{6DFEB45B-F94A-4E0A-BD93-C4005717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534"/>
    <w:pPr>
      <w:spacing w:before="120"/>
      <w:jc w:val="both"/>
    </w:pPr>
    <w:rPr>
      <w:rFonts w:ascii="Calibri" w:hAnsi="Calibri"/>
      <w:szCs w:val="24"/>
    </w:rPr>
  </w:style>
  <w:style w:type="paragraph" w:styleId="Titolo1">
    <w:name w:val="heading 1"/>
    <w:basedOn w:val="Normale"/>
    <w:next w:val="Normale"/>
    <w:autoRedefine/>
    <w:qFormat/>
    <w:rsid w:val="003502AE"/>
    <w:pPr>
      <w:keepNext/>
      <w:numPr>
        <w:numId w:val="1"/>
      </w:numPr>
      <w:tabs>
        <w:tab w:val="clear" w:pos="432"/>
        <w:tab w:val="num" w:pos="709"/>
      </w:tabs>
      <w:spacing w:after="120"/>
      <w:ind w:left="709" w:hanging="709"/>
      <w:outlineLvl w:val="0"/>
    </w:pPr>
    <w:rPr>
      <w:rFonts w:cs="Arial"/>
      <w:b/>
      <w:bCs/>
      <w:kern w:val="32"/>
      <w:sz w:val="26"/>
      <w:szCs w:val="32"/>
    </w:rPr>
  </w:style>
  <w:style w:type="paragraph" w:styleId="Titolo2">
    <w:name w:val="heading 2"/>
    <w:basedOn w:val="Normale"/>
    <w:next w:val="Normale"/>
    <w:autoRedefine/>
    <w:qFormat/>
    <w:rsid w:val="003F0BF9"/>
    <w:pPr>
      <w:keepNext/>
      <w:numPr>
        <w:ilvl w:val="1"/>
        <w:numId w:val="1"/>
      </w:numPr>
      <w:tabs>
        <w:tab w:val="clear" w:pos="1144"/>
        <w:tab w:val="left" w:pos="709"/>
      </w:tabs>
      <w:spacing w:after="60"/>
      <w:ind w:left="709" w:hanging="718"/>
      <w:jc w:val="left"/>
      <w:outlineLvl w:val="1"/>
    </w:pPr>
    <w:rPr>
      <w:rFonts w:cs="Arial"/>
      <w:b/>
      <w:bCs/>
      <w:iCs/>
      <w:lang w:eastAsia="en-GB"/>
    </w:rPr>
  </w:style>
  <w:style w:type="paragraph" w:styleId="Titolo3">
    <w:name w:val="heading 3"/>
    <w:basedOn w:val="Normale"/>
    <w:next w:val="Normale"/>
    <w:autoRedefine/>
    <w:qFormat/>
    <w:rsid w:val="00C97FE5"/>
    <w:pPr>
      <w:keepNext/>
      <w:numPr>
        <w:ilvl w:val="2"/>
        <w:numId w:val="1"/>
      </w:numPr>
      <w:spacing w:after="160"/>
      <w:outlineLvl w:val="2"/>
    </w:pPr>
    <w:rPr>
      <w:rFonts w:asciiTheme="minorHAnsi" w:hAnsiTheme="minorHAnsi" w:cs="Arial"/>
      <w:b/>
      <w:bCs/>
      <w:iCs/>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line="288" w:lineRule="auto"/>
    </w:pPr>
    <w:rPr>
      <w:rFonts w:ascii="Arial" w:eastAsia="Times" w:hAnsi="Arial"/>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3502AE"/>
    <w:pPr>
      <w:tabs>
        <w:tab w:val="right" w:leader="dot" w:pos="9628"/>
      </w:tabs>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rsid w:val="00C40DBF"/>
    <w:pPr>
      <w:tabs>
        <w:tab w:val="left" w:pos="1440"/>
        <w:tab w:val="left" w:pos="1871"/>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rFonts w:ascii="Calibri" w:hAnsi="Calibri"/>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2C10AE"/>
    <w:rPr>
      <w:rFonts w:ascii="Calibri" w:hAnsi="Calibri"/>
      <w:sz w:val="24"/>
    </w:rPr>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2C10AE"/>
    <w:pPr>
      <w:spacing w:after="160" w:line="254" w:lineRule="auto"/>
      <w:ind w:left="720"/>
      <w:contextualSpacing/>
      <w:jc w:val="left"/>
    </w:pPr>
    <w:rPr>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table" w:customStyle="1" w:styleId="Tabellagriglia1chiara1">
    <w:name w:val="Tabella griglia 1 chiara1"/>
    <w:basedOn w:val="Tabellanormale"/>
    <w:uiPriority w:val="46"/>
    <w:rsid w:val="00835A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ellanormale"/>
    <w:uiPriority w:val="46"/>
    <w:rsid w:val="00835A8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lasemplice-11">
    <w:name w:val="Tabella semplice - 11"/>
    <w:basedOn w:val="Tabellanormale"/>
    <w:uiPriority w:val="41"/>
    <w:rsid w:val="00A8210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stosegnaposto">
    <w:name w:val="Placeholder Text"/>
    <w:basedOn w:val="Carpredefinitoparagrafo"/>
    <w:uiPriority w:val="99"/>
    <w:semiHidden/>
    <w:rsid w:val="003928D5"/>
    <w:rPr>
      <w:color w:val="808080"/>
    </w:rPr>
  </w:style>
  <w:style w:type="table" w:customStyle="1" w:styleId="Tabellagriglia1chiara-colore51">
    <w:name w:val="Tabella griglia 1 chiara - colore 51"/>
    <w:basedOn w:val="Tabellanormale"/>
    <w:uiPriority w:val="46"/>
    <w:rsid w:val="003928D5"/>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lagriglia1chiara-colore110">
    <w:name w:val="Tabella griglia 1 chiara - colore 11"/>
    <w:basedOn w:val="Tabellanormale"/>
    <w:uiPriority w:val="46"/>
    <w:rsid w:val="00A264D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Didascalia">
    <w:name w:val="caption"/>
    <w:basedOn w:val="Normale"/>
    <w:next w:val="Normale"/>
    <w:uiPriority w:val="35"/>
    <w:unhideWhenUsed/>
    <w:qFormat/>
    <w:rsid w:val="00E44947"/>
    <w:pPr>
      <w:keepNext/>
      <w:spacing w:after="200"/>
    </w:pPr>
    <w:rPr>
      <w:i/>
      <w:iCs/>
      <w:sz w:val="18"/>
      <w:szCs w:val="18"/>
    </w:rPr>
  </w:style>
  <w:style w:type="table" w:customStyle="1" w:styleId="Tabellagriglia1chiara-colore12">
    <w:name w:val="Tabella griglia 1 chiara - colore 12"/>
    <w:basedOn w:val="Tabellanormale"/>
    <w:uiPriority w:val="46"/>
    <w:rsid w:val="00C97FE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3060">
      <w:bodyDiv w:val="1"/>
      <w:marLeft w:val="0"/>
      <w:marRight w:val="0"/>
      <w:marTop w:val="0"/>
      <w:marBottom w:val="0"/>
      <w:divBdr>
        <w:top w:val="none" w:sz="0" w:space="0" w:color="auto"/>
        <w:left w:val="none" w:sz="0" w:space="0" w:color="auto"/>
        <w:bottom w:val="none" w:sz="0" w:space="0" w:color="auto"/>
        <w:right w:val="none" w:sz="0" w:space="0" w:color="auto"/>
      </w:divBdr>
    </w:div>
    <w:div w:id="80571197">
      <w:bodyDiv w:val="1"/>
      <w:marLeft w:val="0"/>
      <w:marRight w:val="0"/>
      <w:marTop w:val="0"/>
      <w:marBottom w:val="0"/>
      <w:divBdr>
        <w:top w:val="none" w:sz="0" w:space="0" w:color="auto"/>
        <w:left w:val="none" w:sz="0" w:space="0" w:color="auto"/>
        <w:bottom w:val="none" w:sz="0" w:space="0" w:color="auto"/>
        <w:right w:val="none" w:sz="0" w:space="0" w:color="auto"/>
      </w:divBdr>
    </w:div>
    <w:div w:id="83694795">
      <w:bodyDiv w:val="1"/>
      <w:marLeft w:val="0"/>
      <w:marRight w:val="0"/>
      <w:marTop w:val="0"/>
      <w:marBottom w:val="0"/>
      <w:divBdr>
        <w:top w:val="none" w:sz="0" w:space="0" w:color="auto"/>
        <w:left w:val="none" w:sz="0" w:space="0" w:color="auto"/>
        <w:bottom w:val="none" w:sz="0" w:space="0" w:color="auto"/>
        <w:right w:val="none" w:sz="0" w:space="0" w:color="auto"/>
      </w:divBdr>
    </w:div>
    <w:div w:id="175309054">
      <w:bodyDiv w:val="1"/>
      <w:marLeft w:val="0"/>
      <w:marRight w:val="0"/>
      <w:marTop w:val="0"/>
      <w:marBottom w:val="0"/>
      <w:divBdr>
        <w:top w:val="none" w:sz="0" w:space="0" w:color="auto"/>
        <w:left w:val="none" w:sz="0" w:space="0" w:color="auto"/>
        <w:bottom w:val="none" w:sz="0" w:space="0" w:color="auto"/>
        <w:right w:val="none" w:sz="0" w:space="0" w:color="auto"/>
      </w:divBdr>
    </w:div>
    <w:div w:id="175661538">
      <w:bodyDiv w:val="1"/>
      <w:marLeft w:val="0"/>
      <w:marRight w:val="0"/>
      <w:marTop w:val="0"/>
      <w:marBottom w:val="0"/>
      <w:divBdr>
        <w:top w:val="none" w:sz="0" w:space="0" w:color="auto"/>
        <w:left w:val="none" w:sz="0" w:space="0" w:color="auto"/>
        <w:bottom w:val="none" w:sz="0" w:space="0" w:color="auto"/>
        <w:right w:val="none" w:sz="0" w:space="0" w:color="auto"/>
      </w:divBdr>
    </w:div>
    <w:div w:id="181365018">
      <w:bodyDiv w:val="1"/>
      <w:marLeft w:val="0"/>
      <w:marRight w:val="0"/>
      <w:marTop w:val="0"/>
      <w:marBottom w:val="0"/>
      <w:divBdr>
        <w:top w:val="none" w:sz="0" w:space="0" w:color="auto"/>
        <w:left w:val="none" w:sz="0" w:space="0" w:color="auto"/>
        <w:bottom w:val="none" w:sz="0" w:space="0" w:color="auto"/>
        <w:right w:val="none" w:sz="0" w:space="0" w:color="auto"/>
      </w:divBdr>
    </w:div>
    <w:div w:id="217517326">
      <w:bodyDiv w:val="1"/>
      <w:marLeft w:val="0"/>
      <w:marRight w:val="0"/>
      <w:marTop w:val="0"/>
      <w:marBottom w:val="0"/>
      <w:divBdr>
        <w:top w:val="none" w:sz="0" w:space="0" w:color="auto"/>
        <w:left w:val="none" w:sz="0" w:space="0" w:color="auto"/>
        <w:bottom w:val="none" w:sz="0" w:space="0" w:color="auto"/>
        <w:right w:val="none" w:sz="0" w:space="0" w:color="auto"/>
      </w:divBdr>
    </w:div>
    <w:div w:id="227499983">
      <w:bodyDiv w:val="1"/>
      <w:marLeft w:val="0"/>
      <w:marRight w:val="0"/>
      <w:marTop w:val="0"/>
      <w:marBottom w:val="0"/>
      <w:divBdr>
        <w:top w:val="none" w:sz="0" w:space="0" w:color="auto"/>
        <w:left w:val="none" w:sz="0" w:space="0" w:color="auto"/>
        <w:bottom w:val="none" w:sz="0" w:space="0" w:color="auto"/>
        <w:right w:val="none" w:sz="0" w:space="0" w:color="auto"/>
      </w:divBdr>
    </w:div>
    <w:div w:id="268585899">
      <w:bodyDiv w:val="1"/>
      <w:marLeft w:val="0"/>
      <w:marRight w:val="0"/>
      <w:marTop w:val="0"/>
      <w:marBottom w:val="0"/>
      <w:divBdr>
        <w:top w:val="none" w:sz="0" w:space="0" w:color="auto"/>
        <w:left w:val="none" w:sz="0" w:space="0" w:color="auto"/>
        <w:bottom w:val="none" w:sz="0" w:space="0" w:color="auto"/>
        <w:right w:val="none" w:sz="0" w:space="0" w:color="auto"/>
      </w:divBdr>
    </w:div>
    <w:div w:id="305471207">
      <w:bodyDiv w:val="1"/>
      <w:marLeft w:val="0"/>
      <w:marRight w:val="0"/>
      <w:marTop w:val="0"/>
      <w:marBottom w:val="0"/>
      <w:divBdr>
        <w:top w:val="none" w:sz="0" w:space="0" w:color="auto"/>
        <w:left w:val="none" w:sz="0" w:space="0" w:color="auto"/>
        <w:bottom w:val="none" w:sz="0" w:space="0" w:color="auto"/>
        <w:right w:val="none" w:sz="0" w:space="0" w:color="auto"/>
      </w:divBdr>
    </w:div>
    <w:div w:id="318995267">
      <w:bodyDiv w:val="1"/>
      <w:marLeft w:val="0"/>
      <w:marRight w:val="0"/>
      <w:marTop w:val="0"/>
      <w:marBottom w:val="0"/>
      <w:divBdr>
        <w:top w:val="none" w:sz="0" w:space="0" w:color="auto"/>
        <w:left w:val="none" w:sz="0" w:space="0" w:color="auto"/>
        <w:bottom w:val="none" w:sz="0" w:space="0" w:color="auto"/>
        <w:right w:val="none" w:sz="0" w:space="0" w:color="auto"/>
      </w:divBdr>
    </w:div>
    <w:div w:id="349064302">
      <w:bodyDiv w:val="1"/>
      <w:marLeft w:val="0"/>
      <w:marRight w:val="0"/>
      <w:marTop w:val="0"/>
      <w:marBottom w:val="0"/>
      <w:divBdr>
        <w:top w:val="none" w:sz="0" w:space="0" w:color="auto"/>
        <w:left w:val="none" w:sz="0" w:space="0" w:color="auto"/>
        <w:bottom w:val="none" w:sz="0" w:space="0" w:color="auto"/>
        <w:right w:val="none" w:sz="0" w:space="0" w:color="auto"/>
      </w:divBdr>
    </w:div>
    <w:div w:id="354695508">
      <w:bodyDiv w:val="1"/>
      <w:marLeft w:val="0"/>
      <w:marRight w:val="0"/>
      <w:marTop w:val="0"/>
      <w:marBottom w:val="0"/>
      <w:divBdr>
        <w:top w:val="none" w:sz="0" w:space="0" w:color="auto"/>
        <w:left w:val="none" w:sz="0" w:space="0" w:color="auto"/>
        <w:bottom w:val="none" w:sz="0" w:space="0" w:color="auto"/>
        <w:right w:val="none" w:sz="0" w:space="0" w:color="auto"/>
      </w:divBdr>
    </w:div>
    <w:div w:id="419064969">
      <w:bodyDiv w:val="1"/>
      <w:marLeft w:val="0"/>
      <w:marRight w:val="0"/>
      <w:marTop w:val="0"/>
      <w:marBottom w:val="0"/>
      <w:divBdr>
        <w:top w:val="none" w:sz="0" w:space="0" w:color="auto"/>
        <w:left w:val="none" w:sz="0" w:space="0" w:color="auto"/>
        <w:bottom w:val="none" w:sz="0" w:space="0" w:color="auto"/>
        <w:right w:val="none" w:sz="0" w:space="0" w:color="auto"/>
      </w:divBdr>
    </w:div>
    <w:div w:id="581992206">
      <w:bodyDiv w:val="1"/>
      <w:marLeft w:val="0"/>
      <w:marRight w:val="0"/>
      <w:marTop w:val="0"/>
      <w:marBottom w:val="0"/>
      <w:divBdr>
        <w:top w:val="none" w:sz="0" w:space="0" w:color="auto"/>
        <w:left w:val="none" w:sz="0" w:space="0" w:color="auto"/>
        <w:bottom w:val="none" w:sz="0" w:space="0" w:color="auto"/>
        <w:right w:val="none" w:sz="0" w:space="0" w:color="auto"/>
      </w:divBdr>
    </w:div>
    <w:div w:id="625240673">
      <w:bodyDiv w:val="1"/>
      <w:marLeft w:val="0"/>
      <w:marRight w:val="0"/>
      <w:marTop w:val="0"/>
      <w:marBottom w:val="0"/>
      <w:divBdr>
        <w:top w:val="none" w:sz="0" w:space="0" w:color="auto"/>
        <w:left w:val="none" w:sz="0" w:space="0" w:color="auto"/>
        <w:bottom w:val="none" w:sz="0" w:space="0" w:color="auto"/>
        <w:right w:val="none" w:sz="0" w:space="0" w:color="auto"/>
      </w:divBdr>
    </w:div>
    <w:div w:id="719861858">
      <w:bodyDiv w:val="1"/>
      <w:marLeft w:val="0"/>
      <w:marRight w:val="0"/>
      <w:marTop w:val="0"/>
      <w:marBottom w:val="0"/>
      <w:divBdr>
        <w:top w:val="none" w:sz="0" w:space="0" w:color="auto"/>
        <w:left w:val="none" w:sz="0" w:space="0" w:color="auto"/>
        <w:bottom w:val="none" w:sz="0" w:space="0" w:color="auto"/>
        <w:right w:val="none" w:sz="0" w:space="0" w:color="auto"/>
      </w:divBdr>
    </w:div>
    <w:div w:id="735205075">
      <w:bodyDiv w:val="1"/>
      <w:marLeft w:val="0"/>
      <w:marRight w:val="0"/>
      <w:marTop w:val="0"/>
      <w:marBottom w:val="0"/>
      <w:divBdr>
        <w:top w:val="none" w:sz="0" w:space="0" w:color="auto"/>
        <w:left w:val="none" w:sz="0" w:space="0" w:color="auto"/>
        <w:bottom w:val="none" w:sz="0" w:space="0" w:color="auto"/>
        <w:right w:val="none" w:sz="0" w:space="0" w:color="auto"/>
      </w:divBdr>
    </w:div>
    <w:div w:id="754984139">
      <w:bodyDiv w:val="1"/>
      <w:marLeft w:val="0"/>
      <w:marRight w:val="0"/>
      <w:marTop w:val="0"/>
      <w:marBottom w:val="0"/>
      <w:divBdr>
        <w:top w:val="none" w:sz="0" w:space="0" w:color="auto"/>
        <w:left w:val="none" w:sz="0" w:space="0" w:color="auto"/>
        <w:bottom w:val="none" w:sz="0" w:space="0" w:color="auto"/>
        <w:right w:val="none" w:sz="0" w:space="0" w:color="auto"/>
      </w:divBdr>
    </w:div>
    <w:div w:id="767819824">
      <w:bodyDiv w:val="1"/>
      <w:marLeft w:val="0"/>
      <w:marRight w:val="0"/>
      <w:marTop w:val="0"/>
      <w:marBottom w:val="0"/>
      <w:divBdr>
        <w:top w:val="none" w:sz="0" w:space="0" w:color="auto"/>
        <w:left w:val="none" w:sz="0" w:space="0" w:color="auto"/>
        <w:bottom w:val="none" w:sz="0" w:space="0" w:color="auto"/>
        <w:right w:val="none" w:sz="0" w:space="0" w:color="auto"/>
      </w:divBdr>
    </w:div>
    <w:div w:id="894513311">
      <w:bodyDiv w:val="1"/>
      <w:marLeft w:val="0"/>
      <w:marRight w:val="0"/>
      <w:marTop w:val="0"/>
      <w:marBottom w:val="0"/>
      <w:divBdr>
        <w:top w:val="none" w:sz="0" w:space="0" w:color="auto"/>
        <w:left w:val="none" w:sz="0" w:space="0" w:color="auto"/>
        <w:bottom w:val="none" w:sz="0" w:space="0" w:color="auto"/>
        <w:right w:val="none" w:sz="0" w:space="0" w:color="auto"/>
      </w:divBdr>
    </w:div>
    <w:div w:id="934485805">
      <w:bodyDiv w:val="1"/>
      <w:marLeft w:val="0"/>
      <w:marRight w:val="0"/>
      <w:marTop w:val="0"/>
      <w:marBottom w:val="0"/>
      <w:divBdr>
        <w:top w:val="none" w:sz="0" w:space="0" w:color="auto"/>
        <w:left w:val="none" w:sz="0" w:space="0" w:color="auto"/>
        <w:bottom w:val="none" w:sz="0" w:space="0" w:color="auto"/>
        <w:right w:val="none" w:sz="0" w:space="0" w:color="auto"/>
      </w:divBdr>
    </w:div>
    <w:div w:id="1010639856">
      <w:bodyDiv w:val="1"/>
      <w:marLeft w:val="0"/>
      <w:marRight w:val="0"/>
      <w:marTop w:val="0"/>
      <w:marBottom w:val="0"/>
      <w:divBdr>
        <w:top w:val="none" w:sz="0" w:space="0" w:color="auto"/>
        <w:left w:val="none" w:sz="0" w:space="0" w:color="auto"/>
        <w:bottom w:val="none" w:sz="0" w:space="0" w:color="auto"/>
        <w:right w:val="none" w:sz="0" w:space="0" w:color="auto"/>
      </w:divBdr>
    </w:div>
    <w:div w:id="1024017956">
      <w:bodyDiv w:val="1"/>
      <w:marLeft w:val="0"/>
      <w:marRight w:val="0"/>
      <w:marTop w:val="0"/>
      <w:marBottom w:val="0"/>
      <w:divBdr>
        <w:top w:val="none" w:sz="0" w:space="0" w:color="auto"/>
        <w:left w:val="none" w:sz="0" w:space="0" w:color="auto"/>
        <w:bottom w:val="none" w:sz="0" w:space="0" w:color="auto"/>
        <w:right w:val="none" w:sz="0" w:space="0" w:color="auto"/>
      </w:divBdr>
    </w:div>
    <w:div w:id="1141120608">
      <w:bodyDiv w:val="1"/>
      <w:marLeft w:val="0"/>
      <w:marRight w:val="0"/>
      <w:marTop w:val="0"/>
      <w:marBottom w:val="0"/>
      <w:divBdr>
        <w:top w:val="none" w:sz="0" w:space="0" w:color="auto"/>
        <w:left w:val="none" w:sz="0" w:space="0" w:color="auto"/>
        <w:bottom w:val="none" w:sz="0" w:space="0" w:color="auto"/>
        <w:right w:val="none" w:sz="0" w:space="0" w:color="auto"/>
      </w:divBdr>
    </w:div>
    <w:div w:id="1145590249">
      <w:bodyDiv w:val="1"/>
      <w:marLeft w:val="0"/>
      <w:marRight w:val="0"/>
      <w:marTop w:val="0"/>
      <w:marBottom w:val="0"/>
      <w:divBdr>
        <w:top w:val="none" w:sz="0" w:space="0" w:color="auto"/>
        <w:left w:val="none" w:sz="0" w:space="0" w:color="auto"/>
        <w:bottom w:val="none" w:sz="0" w:space="0" w:color="auto"/>
        <w:right w:val="none" w:sz="0" w:space="0" w:color="auto"/>
      </w:divBdr>
    </w:div>
    <w:div w:id="1159073666">
      <w:bodyDiv w:val="1"/>
      <w:marLeft w:val="0"/>
      <w:marRight w:val="0"/>
      <w:marTop w:val="0"/>
      <w:marBottom w:val="0"/>
      <w:divBdr>
        <w:top w:val="none" w:sz="0" w:space="0" w:color="auto"/>
        <w:left w:val="none" w:sz="0" w:space="0" w:color="auto"/>
        <w:bottom w:val="none" w:sz="0" w:space="0" w:color="auto"/>
        <w:right w:val="none" w:sz="0" w:space="0" w:color="auto"/>
      </w:divBdr>
    </w:div>
    <w:div w:id="1228110037">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362168959">
      <w:bodyDiv w:val="1"/>
      <w:marLeft w:val="0"/>
      <w:marRight w:val="0"/>
      <w:marTop w:val="0"/>
      <w:marBottom w:val="0"/>
      <w:divBdr>
        <w:top w:val="none" w:sz="0" w:space="0" w:color="auto"/>
        <w:left w:val="none" w:sz="0" w:space="0" w:color="auto"/>
        <w:bottom w:val="none" w:sz="0" w:space="0" w:color="auto"/>
        <w:right w:val="none" w:sz="0" w:space="0" w:color="auto"/>
      </w:divBdr>
    </w:div>
    <w:div w:id="1489900730">
      <w:bodyDiv w:val="1"/>
      <w:marLeft w:val="0"/>
      <w:marRight w:val="0"/>
      <w:marTop w:val="0"/>
      <w:marBottom w:val="0"/>
      <w:divBdr>
        <w:top w:val="none" w:sz="0" w:space="0" w:color="auto"/>
        <w:left w:val="none" w:sz="0" w:space="0" w:color="auto"/>
        <w:bottom w:val="none" w:sz="0" w:space="0" w:color="auto"/>
        <w:right w:val="none" w:sz="0" w:space="0" w:color="auto"/>
      </w:divBdr>
    </w:div>
    <w:div w:id="1503471146">
      <w:bodyDiv w:val="1"/>
      <w:marLeft w:val="0"/>
      <w:marRight w:val="0"/>
      <w:marTop w:val="0"/>
      <w:marBottom w:val="0"/>
      <w:divBdr>
        <w:top w:val="none" w:sz="0" w:space="0" w:color="auto"/>
        <w:left w:val="none" w:sz="0" w:space="0" w:color="auto"/>
        <w:bottom w:val="none" w:sz="0" w:space="0" w:color="auto"/>
        <w:right w:val="none" w:sz="0" w:space="0" w:color="auto"/>
      </w:divBdr>
    </w:div>
    <w:div w:id="1595702357">
      <w:bodyDiv w:val="1"/>
      <w:marLeft w:val="0"/>
      <w:marRight w:val="0"/>
      <w:marTop w:val="0"/>
      <w:marBottom w:val="0"/>
      <w:divBdr>
        <w:top w:val="none" w:sz="0" w:space="0" w:color="auto"/>
        <w:left w:val="none" w:sz="0" w:space="0" w:color="auto"/>
        <w:bottom w:val="none" w:sz="0" w:space="0" w:color="auto"/>
        <w:right w:val="none" w:sz="0" w:space="0" w:color="auto"/>
      </w:divBdr>
    </w:div>
    <w:div w:id="1708485142">
      <w:bodyDiv w:val="1"/>
      <w:marLeft w:val="0"/>
      <w:marRight w:val="0"/>
      <w:marTop w:val="0"/>
      <w:marBottom w:val="0"/>
      <w:divBdr>
        <w:top w:val="none" w:sz="0" w:space="0" w:color="auto"/>
        <w:left w:val="none" w:sz="0" w:space="0" w:color="auto"/>
        <w:bottom w:val="none" w:sz="0" w:space="0" w:color="auto"/>
        <w:right w:val="none" w:sz="0" w:space="0" w:color="auto"/>
      </w:divBdr>
    </w:div>
    <w:div w:id="1743674386">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919175084">
      <w:bodyDiv w:val="1"/>
      <w:marLeft w:val="0"/>
      <w:marRight w:val="0"/>
      <w:marTop w:val="0"/>
      <w:marBottom w:val="0"/>
      <w:divBdr>
        <w:top w:val="none" w:sz="0" w:space="0" w:color="auto"/>
        <w:left w:val="none" w:sz="0" w:space="0" w:color="auto"/>
        <w:bottom w:val="none" w:sz="0" w:space="0" w:color="auto"/>
        <w:right w:val="none" w:sz="0" w:space="0" w:color="auto"/>
      </w:divBdr>
    </w:div>
    <w:div w:id="1947730953">
      <w:bodyDiv w:val="1"/>
      <w:marLeft w:val="0"/>
      <w:marRight w:val="0"/>
      <w:marTop w:val="0"/>
      <w:marBottom w:val="0"/>
      <w:divBdr>
        <w:top w:val="none" w:sz="0" w:space="0" w:color="auto"/>
        <w:left w:val="none" w:sz="0" w:space="0" w:color="auto"/>
        <w:bottom w:val="none" w:sz="0" w:space="0" w:color="auto"/>
        <w:right w:val="none" w:sz="0" w:space="0" w:color="auto"/>
      </w:divBdr>
    </w:div>
    <w:div w:id="1950695155">
      <w:bodyDiv w:val="1"/>
      <w:marLeft w:val="0"/>
      <w:marRight w:val="0"/>
      <w:marTop w:val="0"/>
      <w:marBottom w:val="0"/>
      <w:divBdr>
        <w:top w:val="none" w:sz="0" w:space="0" w:color="auto"/>
        <w:left w:val="none" w:sz="0" w:space="0" w:color="auto"/>
        <w:bottom w:val="none" w:sz="0" w:space="0" w:color="auto"/>
        <w:right w:val="none" w:sz="0" w:space="0" w:color="auto"/>
      </w:divBdr>
    </w:div>
    <w:div w:id="2036806665">
      <w:bodyDiv w:val="1"/>
      <w:marLeft w:val="0"/>
      <w:marRight w:val="0"/>
      <w:marTop w:val="0"/>
      <w:marBottom w:val="0"/>
      <w:divBdr>
        <w:top w:val="none" w:sz="0" w:space="0" w:color="auto"/>
        <w:left w:val="none" w:sz="0" w:space="0" w:color="auto"/>
        <w:bottom w:val="none" w:sz="0" w:space="0" w:color="auto"/>
        <w:right w:val="none" w:sz="0" w:space="0" w:color="auto"/>
      </w:divBdr>
    </w:div>
    <w:div w:id="206590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cune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66DA8-93F0-4B53-A1BB-CCA111E2F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6138</Words>
  <Characters>34989</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41045</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Marco Signorini</dc:creator>
  <cp:lastModifiedBy>Eva Cismondi</cp:lastModifiedBy>
  <cp:revision>10</cp:revision>
  <cp:lastPrinted>2014-03-04T11:43:00Z</cp:lastPrinted>
  <dcterms:created xsi:type="dcterms:W3CDTF">2020-07-15T06:49:00Z</dcterms:created>
  <dcterms:modified xsi:type="dcterms:W3CDTF">2020-07-16T09:51:00Z</dcterms:modified>
</cp:coreProperties>
</file>